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48"/>
        </w:rPr>
      </w:pPr>
    </w:p>
    <w:p>
      <w:pPr>
        <w:rPr>
          <w:sz w:val="48"/>
        </w:rPr>
      </w:pPr>
    </w:p>
    <w:p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 xml:space="preserve">四川银行定开系列6个月6号净值型理财产品 </w:t>
      </w:r>
    </w:p>
    <w:p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2023年第2季度</w:t>
      </w:r>
      <w:r>
        <w:rPr>
          <w:rFonts w:hint="eastAsia" w:ascii="宋体" w:hAnsi="宋体"/>
          <w:b/>
          <w:bCs/>
          <w:sz w:val="48"/>
          <w:szCs w:val="30"/>
        </w:rPr>
        <w:t>报告</w:t>
      </w:r>
    </w:p>
    <w:p>
      <w:pPr>
        <w:jc w:val="center"/>
        <w:rPr>
          <w:rFonts w:ascii="宋体" w:hAnsi="宋体"/>
          <w:b/>
          <w:bCs/>
          <w:sz w:val="28"/>
          <w:szCs w:val="30"/>
        </w:rPr>
      </w:pPr>
    </w:p>
    <w:p>
      <w:pPr>
        <w:jc w:val="center"/>
        <w:rPr>
          <w:rFonts w:ascii="宋体" w:hAnsi="宋体"/>
          <w:sz w:val="28"/>
          <w:szCs w:val="30"/>
        </w:rPr>
      </w:pPr>
    </w:p>
    <w:p>
      <w:pPr>
        <w:jc w:val="center"/>
        <w:rPr>
          <w:rFonts w:ascii="宋体" w:hAnsi="宋体"/>
          <w:sz w:val="28"/>
          <w:szCs w:val="30"/>
        </w:rPr>
      </w:pPr>
    </w:p>
    <w:p>
      <w:pPr>
        <w:jc w:val="center"/>
        <w:rPr>
          <w:rFonts w:ascii="宋体" w:hAnsi="宋体"/>
          <w:sz w:val="28"/>
          <w:szCs w:val="30"/>
        </w:rPr>
      </w:pPr>
    </w:p>
    <w:p>
      <w:pPr>
        <w:jc w:val="center"/>
        <w:rPr>
          <w:rFonts w:ascii="宋体" w:hAnsi="宋体"/>
          <w:sz w:val="28"/>
          <w:szCs w:val="30"/>
        </w:rPr>
      </w:pPr>
    </w:p>
    <w:p>
      <w:pPr>
        <w:jc w:val="center"/>
        <w:rPr>
          <w:rFonts w:ascii="宋体" w:hAnsi="宋体"/>
          <w:sz w:val="28"/>
          <w:szCs w:val="30"/>
        </w:rPr>
      </w:pPr>
    </w:p>
    <w:p>
      <w:pPr>
        <w:jc w:val="center"/>
        <w:rPr>
          <w:rFonts w:ascii="宋体" w:hAnsi="宋体"/>
          <w:sz w:val="28"/>
          <w:szCs w:val="30"/>
        </w:rPr>
      </w:pPr>
    </w:p>
    <w:p>
      <w:pPr>
        <w:jc w:val="center"/>
        <w:rPr>
          <w:rFonts w:ascii="宋体" w:hAnsi="宋体"/>
          <w:sz w:val="28"/>
          <w:szCs w:val="30"/>
        </w:rPr>
      </w:pPr>
    </w:p>
    <w:p>
      <w:pPr>
        <w:jc w:val="center"/>
        <w:rPr>
          <w:rFonts w:ascii="宋体" w:hAnsi="宋体"/>
          <w:sz w:val="28"/>
          <w:szCs w:val="30"/>
        </w:rPr>
      </w:pPr>
    </w:p>
    <w:p>
      <w:pPr>
        <w:jc w:val="center"/>
        <w:rPr>
          <w:rFonts w:ascii="宋体" w:hAnsi="宋体"/>
          <w:sz w:val="28"/>
          <w:szCs w:val="30"/>
        </w:rPr>
      </w:pPr>
    </w:p>
    <w:p>
      <w:pPr>
        <w:jc w:val="center"/>
        <w:rPr>
          <w:rFonts w:ascii="宋体" w:hAnsi="宋体"/>
          <w:sz w:val="28"/>
          <w:szCs w:val="30"/>
        </w:rPr>
      </w:pPr>
    </w:p>
    <w:p>
      <w:pPr>
        <w:jc w:val="center"/>
        <w:rPr>
          <w:rFonts w:ascii="宋体" w:hAnsi="宋体"/>
          <w:sz w:val="28"/>
          <w:szCs w:val="30"/>
        </w:rPr>
      </w:pPr>
    </w:p>
    <w:p>
      <w:pPr>
        <w:ind w:firstLine="1687" w:firstLineChars="600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产品管理人：四川银行股份有限公司</w:t>
      </w:r>
    </w:p>
    <w:p>
      <w:pPr>
        <w:ind w:firstLine="1687" w:firstLineChars="600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产品托管人：招商银行股份有限公司成都分行</w:t>
      </w:r>
    </w:p>
    <w:p>
      <w:pPr>
        <w:ind w:firstLine="1680" w:firstLineChars="600"/>
        <w:jc w:val="left"/>
        <w:rPr>
          <w:rFonts w:ascii="宋体" w:hAnsi="宋体"/>
          <w:sz w:val="28"/>
          <w:szCs w:val="30"/>
        </w:rPr>
      </w:pPr>
    </w:p>
    <w:p>
      <w:pPr>
        <w:ind w:firstLine="1680" w:firstLineChars="600"/>
        <w:jc w:val="left"/>
        <w:rPr>
          <w:rFonts w:ascii="宋体" w:hAnsi="宋体"/>
          <w:sz w:val="28"/>
          <w:szCs w:val="30"/>
        </w:rPr>
      </w:pPr>
    </w:p>
    <w:p>
      <w:pPr>
        <w:ind w:firstLine="1680" w:firstLineChars="600"/>
        <w:jc w:val="left"/>
        <w:rPr>
          <w:rFonts w:ascii="宋体" w:hAnsi="宋体"/>
          <w:sz w:val="28"/>
          <w:szCs w:val="30"/>
        </w:rPr>
      </w:pPr>
    </w:p>
    <w:p>
      <w:pPr>
        <w:rPr>
          <w:rFonts w:ascii="宋体" w:hAnsi="宋体"/>
          <w:sz w:val="28"/>
          <w:szCs w:val="30"/>
        </w:rPr>
      </w:pPr>
    </w:p>
    <w:p>
      <w:pPr>
        <w:jc w:val="center"/>
        <w:rPr>
          <w:rFonts w:ascii="宋体" w:hAnsi="宋体"/>
          <w:b/>
          <w:bCs/>
          <w:sz w:val="28"/>
          <w:szCs w:val="30"/>
        </w:rPr>
      </w:pPr>
    </w:p>
    <w:p>
      <w:pPr>
        <w:jc w:val="center"/>
        <w:rPr>
          <w:rFonts w:ascii="宋体" w:hAnsi="宋体"/>
          <w:b/>
          <w:bCs/>
          <w:sz w:val="28"/>
          <w:szCs w:val="30"/>
        </w:rPr>
      </w:pPr>
      <w:r>
        <w:rPr>
          <w:rFonts w:hint="eastAsia" w:ascii="宋体" w:hAnsi="宋体"/>
          <w:b/>
          <w:bCs/>
          <w:sz w:val="28"/>
          <w:szCs w:val="30"/>
        </w:rPr>
        <w:t>重要提示</w:t>
      </w:r>
    </w:p>
    <w:p>
      <w:pPr>
        <w:spacing w:line="360" w:lineRule="auto"/>
        <w:ind w:right="-107" w:rightChars="-51"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产品托管人</w:t>
      </w:r>
      <w:r>
        <w:rPr>
          <w:rFonts w:ascii="宋体" w:hAnsi="宋体"/>
          <w:szCs w:val="21"/>
        </w:rPr>
        <w:t>招商银行股份有限公司成都分行</w:t>
      </w:r>
      <w:r>
        <w:rPr>
          <w:rFonts w:hint="eastAsia" w:ascii="宋体" w:hAnsi="宋体"/>
          <w:szCs w:val="21"/>
        </w:rPr>
        <w:t>根据《商业银行理财业务监督管理办法》规定，复核了本报告中的产品收益表现、主要财务指标、投资组合情况等内容，保证复核内容不存在虚假记载、误导性陈述或者重大遗漏。</w:t>
      </w:r>
    </w:p>
    <w:p>
      <w:pPr>
        <w:spacing w:line="360" w:lineRule="auto"/>
        <w:ind w:right="-107" w:rightChars="-51"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产品管理人承诺以诚实信用、勤勉尽责的原则管理和运用理财资产，但不保证一定盈利。产品的过往业绩并不代表其未来表现。投资有风险，投资者在作出投资决策前应仔细阅读本产品的发行文件。</w:t>
      </w:r>
    </w:p>
    <w:p>
      <w:pPr>
        <w:spacing w:line="360" w:lineRule="auto"/>
        <w:ind w:right="-107" w:rightChars="-51"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本报告中财务资料未经审计。</w:t>
      </w:r>
    </w:p>
    <w:p>
      <w:pPr>
        <w:spacing w:line="360" w:lineRule="auto"/>
        <w:ind w:right="-107" w:rightChars="-51"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</w:t>
      </w:r>
      <w:r>
        <w:rPr>
          <w:rFonts w:ascii="宋体" w:hAnsi="宋体"/>
          <w:szCs w:val="21"/>
        </w:rPr>
        <w:t>报告期</w:t>
      </w:r>
      <w:r>
        <w:rPr>
          <w:rFonts w:hint="eastAsia" w:ascii="宋体" w:hAnsi="宋体"/>
          <w:szCs w:val="21"/>
        </w:rPr>
        <w:t>自2023-04-01起至2023-06-30</w:t>
      </w:r>
      <w:r>
        <w:rPr>
          <w:rFonts w:ascii="宋体" w:hAnsi="宋体"/>
          <w:szCs w:val="21"/>
        </w:rPr>
        <w:t>止。</w:t>
      </w:r>
    </w:p>
    <w:p>
      <w:pPr>
        <w:pStyle w:val="40"/>
      </w:pPr>
      <w:r>
        <w:rPr>
          <w:rFonts w:hint="eastAsia"/>
          <w:lang w:eastAsia="zh-CN"/>
        </w:rPr>
        <w:t>产品</w:t>
      </w:r>
      <w:r>
        <w:rPr>
          <w:rFonts w:hint="eastAsia"/>
        </w:rPr>
        <w:t>基本情况</w:t>
      </w:r>
      <w:r>
        <w:rPr>
          <w:rFonts w:hint="eastAsia"/>
          <w:lang w:eastAsia="zh-CN"/>
        </w:rPr>
        <w:t xml:space="preserve"> </w:t>
      </w:r>
    </w:p>
    <w:tbl>
      <w:tblPr>
        <w:tblStyle w:val="17"/>
        <w:tblW w:w="0" w:type="auto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8"/>
        <w:gridCol w:w="5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38" w:type="dxa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</w:t>
            </w:r>
          </w:p>
        </w:tc>
        <w:tc>
          <w:tcPr>
            <w:tcW w:w="5027" w:type="dxa"/>
            <w:vAlign w:val="center"/>
          </w:tcPr>
          <w:p>
            <w:pPr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38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产品名称</w:t>
            </w:r>
          </w:p>
        </w:tc>
        <w:tc>
          <w:tcPr>
            <w:tcW w:w="5027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四川银行定开系列6个月6号净值型理财产品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38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产品登记编码</w:t>
            </w:r>
          </w:p>
        </w:tc>
        <w:tc>
          <w:tcPr>
            <w:tcW w:w="5027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C1438121000175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38" w:type="dxa"/>
            <w:vAlign w:val="center"/>
          </w:tcPr>
          <w:p>
            <w:pPr>
              <w:ind w:right="-107" w:rightChars="-51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产品管理人</w:t>
            </w:r>
          </w:p>
        </w:tc>
        <w:tc>
          <w:tcPr>
            <w:tcW w:w="5027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四川银行股份有限公司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38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产品托管人</w:t>
            </w:r>
          </w:p>
        </w:tc>
        <w:tc>
          <w:tcPr>
            <w:tcW w:w="5027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招商银行股份有限公司成都分行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38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产品运作方式</w:t>
            </w:r>
          </w:p>
        </w:tc>
        <w:tc>
          <w:tcPr>
            <w:tcW w:w="5027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公募定期开放式净值型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38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产品成立日</w:t>
            </w:r>
          </w:p>
        </w:tc>
        <w:tc>
          <w:tcPr>
            <w:tcW w:w="5027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2021-11-05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38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产品到期日</w:t>
            </w:r>
          </w:p>
        </w:tc>
        <w:tc>
          <w:tcPr>
            <w:tcW w:w="5027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9999-12-31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83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报告期末产品份额总额</w:t>
            </w:r>
          </w:p>
        </w:tc>
        <w:tc>
          <w:tcPr>
            <w:tcW w:w="5027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0" w:name="OLE_LINK1"/>
            <w:r>
              <w:rPr>
                <w:rFonts w:hint="eastAsia" w:ascii="宋体" w:hAnsi="宋体"/>
              </w:rPr>
              <w:t>71,892,000.00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3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业绩比较基准（如有）</w:t>
            </w:r>
          </w:p>
        </w:tc>
        <w:tc>
          <w:tcPr>
            <w:tcW w:w="5027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[3.9%-4.1%]/年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3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估值方法</w:t>
            </w:r>
          </w:p>
        </w:tc>
        <w:tc>
          <w:tcPr>
            <w:tcW w:w="5027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市值法</w:t>
            </w:r>
          </w:p>
        </w:tc>
      </w:tr>
    </w:tbl>
    <w:p>
      <w:pPr>
        <w:pStyle w:val="40"/>
        <w:rPr>
          <w:lang w:eastAsia="zh-CN"/>
        </w:rPr>
      </w:pPr>
      <w:r>
        <w:rPr>
          <w:rFonts w:hint="eastAsia"/>
        </w:rPr>
        <w:t>产品</w:t>
      </w:r>
      <w:r>
        <w:rPr>
          <w:rFonts w:hint="eastAsia"/>
          <w:lang w:eastAsia="zh-CN"/>
        </w:rPr>
        <w:t>收益</w:t>
      </w:r>
      <w:r>
        <w:rPr>
          <w:rFonts w:hint="eastAsia"/>
        </w:rPr>
        <w:t>表现</w:t>
      </w:r>
    </w:p>
    <w:tbl>
      <w:tblPr>
        <w:tblStyle w:val="17"/>
        <w:tblW w:w="8956" w:type="dxa"/>
        <w:tblInd w:w="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3"/>
        <w:gridCol w:w="5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3853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阶段</w:t>
            </w:r>
          </w:p>
        </w:tc>
        <w:tc>
          <w:tcPr>
            <w:tcW w:w="5103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净值增长率（%）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385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当期（</w:t>
            </w:r>
            <w:r>
              <w:rPr>
                <w:rFonts w:ascii="宋体" w:hAnsi="宋体"/>
              </w:rPr>
              <w:t>2023-04-01</w:t>
            </w:r>
            <w:r>
              <w:rPr>
                <w:rFonts w:hint="eastAsia" w:ascii="宋体" w:hAnsi="宋体"/>
              </w:rPr>
              <w:t>至</w:t>
            </w:r>
            <w:r>
              <w:rPr>
                <w:rFonts w:ascii="宋体" w:hAnsi="宋体"/>
              </w:rPr>
              <w:t>2023-06-30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510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385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自产品成立日至今</w:t>
            </w:r>
          </w:p>
        </w:tc>
        <w:tc>
          <w:tcPr>
            <w:tcW w:w="510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4.97</w:t>
            </w:r>
            <w:bookmarkStart w:id="1" w:name="OLE_LINK7"/>
            <w:bookmarkEnd w:id="1"/>
            <w:bookmarkStart w:id="2" w:name="OLE_LINK4"/>
            <w:bookmarkEnd w:id="2"/>
          </w:p>
        </w:tc>
      </w:tr>
    </w:tbl>
    <w:p>
      <w:pPr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</w:p>
    <w:p>
      <w:pPr>
        <w:pStyle w:val="40"/>
      </w:pPr>
      <w:r>
        <w:rPr>
          <w:rFonts w:hint="eastAsia"/>
        </w:rPr>
        <w:t>主要财务指标</w:t>
      </w:r>
    </w:p>
    <w:p>
      <w:pPr>
        <w:jc w:val="right"/>
        <w:rPr>
          <w:rFonts w:ascii="宋体" w:hAnsi="宋体"/>
        </w:rPr>
      </w:pPr>
      <w:r>
        <w:rPr>
          <w:rFonts w:hint="eastAsia" w:ascii="宋体" w:hAnsi="宋体"/>
        </w:rPr>
        <w:t>金额单位：元</w:t>
      </w:r>
    </w:p>
    <w:tbl>
      <w:tblPr>
        <w:tblStyle w:val="17"/>
        <w:tblW w:w="8865" w:type="dxa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8"/>
        <w:gridCol w:w="5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3838" w:type="dxa"/>
            <w:shd w:val="clear" w:color="auto" w:fill="D9D9D9"/>
            <w:vAlign w:val="center"/>
          </w:tcPr>
          <w:p>
            <w:pPr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项目</w:t>
            </w:r>
          </w:p>
        </w:tc>
        <w:tc>
          <w:tcPr>
            <w:tcW w:w="5027" w:type="dxa"/>
            <w:shd w:val="clear" w:color="auto" w:fill="D9D9D9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b/>
              </w:rPr>
              <w:t>2023-04-01</w:t>
            </w:r>
            <w:r>
              <w:rPr>
                <w:rFonts w:hint="eastAsia"/>
                <w:b/>
              </w:rPr>
              <w:t xml:space="preserve">至 </w:t>
            </w:r>
            <w:r>
              <w:rPr>
                <w:b/>
              </w:rPr>
              <w:t>2023-06-30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38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本期已实现收益</w:t>
            </w:r>
          </w:p>
        </w:tc>
        <w:tc>
          <w:tcPr>
            <w:tcW w:w="5027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-154,367.12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38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本期利润</w:t>
            </w:r>
          </w:p>
        </w:tc>
        <w:tc>
          <w:tcPr>
            <w:tcW w:w="5027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477,542.37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38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期末产品资产净值</w:t>
            </w:r>
          </w:p>
        </w:tc>
        <w:tc>
          <w:tcPr>
            <w:tcW w:w="5027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73,279,989.33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38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期末产品份额净值</w:t>
            </w:r>
          </w:p>
        </w:tc>
        <w:tc>
          <w:tcPr>
            <w:tcW w:w="5027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1.0193</w:t>
            </w:r>
          </w:p>
        </w:tc>
      </w:tr>
    </w:tbl>
    <w:p>
      <w:pPr>
        <w:tabs>
          <w:tab w:val="left" w:pos="3135"/>
        </w:tabs>
        <w:ind w:left="420" w:left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>
      <w:pPr>
        <w:pStyle w:val="40"/>
      </w:pPr>
      <w:r>
        <w:rPr>
          <w:rFonts w:hint="eastAsia"/>
        </w:rPr>
        <w:t>投资组合情况</w:t>
      </w:r>
      <w:r>
        <w:rPr>
          <w:rFonts w:hint="eastAsia"/>
          <w:lang w:eastAsia="zh-CN"/>
        </w:rPr>
        <w:t>及</w:t>
      </w:r>
      <w:r>
        <w:rPr>
          <w:lang w:eastAsia="zh-CN"/>
        </w:rPr>
        <w:t>流动性风险分析</w:t>
      </w:r>
    </w:p>
    <w:p>
      <w:pPr>
        <w:pStyle w:val="49"/>
        <w:keepNext/>
        <w:keepLines/>
        <w:numPr>
          <w:ilvl w:val="0"/>
          <w:numId w:val="2"/>
        </w:numPr>
        <w:spacing w:before="156" w:beforeLines="50" w:after="156" w:afterLines="50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 w:eastAsia="zh-CN"/>
        </w:rPr>
      </w:pPr>
    </w:p>
    <w:p>
      <w:pPr>
        <w:pStyle w:val="49"/>
        <w:keepNext/>
        <w:keepLines/>
        <w:numPr>
          <w:ilvl w:val="0"/>
          <w:numId w:val="2"/>
        </w:numPr>
        <w:spacing w:before="156" w:beforeLines="50" w:after="156" w:afterLines="50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 w:eastAsia="zh-CN"/>
        </w:rPr>
      </w:pPr>
    </w:p>
    <w:p>
      <w:pPr>
        <w:pStyle w:val="49"/>
        <w:keepNext/>
        <w:keepLines/>
        <w:numPr>
          <w:ilvl w:val="0"/>
          <w:numId w:val="2"/>
        </w:numPr>
        <w:spacing w:before="156" w:beforeLines="50" w:after="156" w:afterLines="50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 w:eastAsia="zh-CN"/>
        </w:rPr>
      </w:pPr>
    </w:p>
    <w:p>
      <w:pPr>
        <w:pStyle w:val="49"/>
        <w:keepNext/>
        <w:keepLines/>
        <w:numPr>
          <w:ilvl w:val="0"/>
          <w:numId w:val="2"/>
        </w:numPr>
        <w:spacing w:before="156" w:beforeLines="50" w:after="156" w:afterLines="50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 w:eastAsia="zh-CN"/>
        </w:rPr>
      </w:pPr>
    </w:p>
    <w:p>
      <w:pPr>
        <w:pStyle w:val="41"/>
        <w:spacing w:before="156" w:after="156"/>
      </w:pPr>
      <w:r>
        <w:rPr>
          <w:rFonts w:hint="eastAsia"/>
          <w:b w:val="0"/>
        </w:rPr>
        <w:t>期末资产组合情况</w:t>
      </w:r>
    </w:p>
    <w:p>
      <w:pPr>
        <w:rPr>
          <w:lang w:val="zh-CN" w:eastAsia="zh-CN"/>
        </w:rPr>
      </w:pPr>
    </w:p>
    <w:p>
      <w:pPr>
        <w:jc w:val="right"/>
      </w:pPr>
    </w:p>
    <w:p>
      <w:pPr>
        <w:jc w:val="right"/>
      </w:pPr>
    </w:p>
    <w:p>
      <w:pPr>
        <w:jc w:val="right"/>
      </w:pPr>
      <w:r>
        <w:rPr>
          <w:rFonts w:hint="eastAsia"/>
        </w:rPr>
        <w:t>金额单位：元</w:t>
      </w:r>
    </w:p>
    <w:tbl>
      <w:tblPr>
        <w:tblStyle w:val="17"/>
        <w:tblW w:w="88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447"/>
        <w:gridCol w:w="1697"/>
        <w:gridCol w:w="1749"/>
        <w:gridCol w:w="1653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11" w:type="dxa"/>
            <w:vMerge w:val="restart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447" w:type="dxa"/>
            <w:vMerge w:val="restart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</w:t>
            </w:r>
          </w:p>
        </w:tc>
        <w:tc>
          <w:tcPr>
            <w:tcW w:w="3446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  <w:tc>
          <w:tcPr>
            <w:tcW w:w="3358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11" w:type="dxa"/>
            <w:vMerge w:val="continue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7" w:type="dxa"/>
            <w:vMerge w:val="continue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97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金额</w:t>
            </w:r>
          </w:p>
        </w:tc>
        <w:tc>
          <w:tcPr>
            <w:tcW w:w="1749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占产品总资产的比例（%）</w:t>
            </w:r>
          </w:p>
        </w:tc>
        <w:tc>
          <w:tcPr>
            <w:tcW w:w="1653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金额</w:t>
            </w:r>
          </w:p>
        </w:tc>
        <w:tc>
          <w:tcPr>
            <w:tcW w:w="1705" w:type="dxa"/>
            <w:shd w:val="clear" w:color="auto" w:fill="D9D9D9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占产品总资产的比例（%）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权益投资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其中：普通股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存托凭证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基金投资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固定收益投资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58,936,493.68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79.01</w:t>
            </w: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其中：债券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58,936,493.68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79.01</w:t>
            </w: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资产支持证券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金融衍生品投资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其中：远期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期货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期权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权证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其中：买断式回购的买入返售金融资产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货币市场工具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银行存款和结算备付金合计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15,651,202.47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20.98</w:t>
            </w: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拆放同业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资管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产品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其他资产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7,536.90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0.01</w:t>
            </w: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shd w:val="clear" w:color="auto" w:fill="auto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shd w:val="clear" w:color="auto" w:fill="auto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1697" w:type="dxa"/>
            <w:shd w:val="clear" w:color="auto" w:fill="auto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74,595,233.05</w:t>
            </w:r>
          </w:p>
        </w:tc>
        <w:tc>
          <w:tcPr>
            <w:tcW w:w="1749" w:type="dxa"/>
            <w:shd w:val="clear" w:color="auto" w:fill="auto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100.00</w:t>
            </w:r>
          </w:p>
        </w:tc>
        <w:tc>
          <w:tcPr>
            <w:tcW w:w="1653" w:type="dxa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05" w:type="dxa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</w:tr>
    </w:tbl>
    <w:p>
      <w:pPr>
        <w:ind w:left="420" w:leftChars="200"/>
        <w:jc w:val="left"/>
        <w:rPr>
          <w:rFonts w:ascii="宋体" w:hAnsi="宋体"/>
          <w:sz w:val="24"/>
        </w:rPr>
      </w:pPr>
    </w:p>
    <w:p>
      <w:pPr>
        <w:ind w:left="420" w:leftChars="200"/>
        <w:jc w:val="left"/>
        <w:rPr>
          <w:rFonts w:asciiTheme="minorEastAsia" w:hAnsiTheme="minorEastAsia" w:eastAsiaTheme="minorEastAsia"/>
          <w:sz w:val="24"/>
        </w:rPr>
      </w:pPr>
    </w:p>
    <w:p>
      <w:pPr>
        <w:pStyle w:val="41"/>
        <w:spacing w:before="156" w:after="156"/>
        <w:rPr>
          <w:b w:val="0"/>
        </w:rPr>
      </w:pPr>
      <w:r>
        <w:rPr>
          <w:rFonts w:hint="eastAsia"/>
          <w:b w:val="0"/>
        </w:rPr>
        <w:t>投资</w:t>
      </w:r>
      <w:r>
        <w:rPr>
          <w:b w:val="0"/>
        </w:rPr>
        <w:t>组合流动</w:t>
      </w:r>
      <w:r>
        <w:rPr>
          <w:rFonts w:hint="eastAsia"/>
          <w:b w:val="0"/>
          <w:lang w:eastAsia="zh-CN"/>
        </w:rPr>
        <w:t>性</w:t>
      </w:r>
      <w:r>
        <w:rPr>
          <w:b w:val="0"/>
        </w:rPr>
        <w:t>风险分析</w:t>
      </w:r>
    </w:p>
    <w:p>
      <w:pPr>
        <w:spacing w:line="360" w:lineRule="auto"/>
        <w:ind w:right="-107" w:rightChars="-51"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本产品主要投资范围为标准化资产，并保有一定流动性储备，整体流动性风险可控。本产品通过额度控制、事前预测、募集资金、正回购及变现高流动性资产的方式应对流动性风险。具体包括：一是跟踪资金申购赎回（或到期）情况，提前备付流动资金；二是根据产品的期限，合理安排投资资产剩余期限，预防流动性风险；三是产品持有一定比例的高流动性资产，赎回期（或到期）前主要通过储备的流动性或卖出资产变现，满足产品的流动性需求。</w:t>
      </w:r>
    </w:p>
    <w:p>
      <w:pPr>
        <w:widowControl/>
        <w:jc w:val="left"/>
        <w:rPr>
          <w:rFonts w:ascii="宋体" w:hAnsi="宋体"/>
          <w:sz w:val="24"/>
        </w:rPr>
      </w:pPr>
    </w:p>
    <w:p>
      <w:pPr>
        <w:pStyle w:val="41"/>
        <w:spacing w:before="156" w:after="156"/>
        <w:rPr>
          <w:b w:val="0"/>
        </w:rPr>
      </w:pPr>
      <w:r>
        <w:rPr>
          <w:rFonts w:hint="eastAsia"/>
          <w:b w:val="0"/>
        </w:rPr>
        <w:t>报告期末占资产净值比例大小排序的前十项资产</w:t>
      </w:r>
      <w:r>
        <w:rPr>
          <w:b w:val="0"/>
        </w:rPr>
        <w:t>明细</w:t>
      </w:r>
    </w:p>
    <w:p>
      <w:pPr>
        <w:jc w:val="right"/>
        <w:rPr>
          <w:rFonts w:ascii="宋体" w:hAnsi="宋体"/>
        </w:rPr>
      </w:pPr>
      <w:r>
        <w:rPr>
          <w:rFonts w:hint="eastAsia" w:ascii="宋体" w:hAnsi="宋体"/>
        </w:rPr>
        <w:t>金额单位：元</w:t>
      </w:r>
    </w:p>
    <w:tbl>
      <w:tblPr>
        <w:tblStyle w:val="1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3159"/>
        <w:gridCol w:w="2693"/>
        <w:gridCol w:w="2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777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3159" w:type="dxa"/>
            <w:shd w:val="clear" w:color="auto" w:fill="D9D9D9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资产名称</w:t>
            </w:r>
          </w:p>
        </w:tc>
        <w:tc>
          <w:tcPr>
            <w:tcW w:w="2693" w:type="dxa"/>
            <w:shd w:val="clear" w:color="auto" w:fill="D9D9D9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金额</w:t>
            </w:r>
          </w:p>
        </w:tc>
        <w:tc>
          <w:tcPr>
            <w:tcW w:w="2431" w:type="dxa"/>
            <w:shd w:val="clear" w:color="auto" w:fill="D9D9D9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占产品资产净值比例（%）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21绵投02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6,410,556.16</w:t>
            </w:r>
          </w:p>
        </w:tc>
        <w:tc>
          <w:tcPr>
            <w:tcW w:w="243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22彭城建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6,250,472.88</w:t>
            </w:r>
          </w:p>
        </w:tc>
        <w:tc>
          <w:tcPr>
            <w:tcW w:w="243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20崇兴01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6,232,372.60</w:t>
            </w:r>
          </w:p>
        </w:tc>
        <w:tc>
          <w:tcPr>
            <w:tcW w:w="243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21东方电气MTN002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6,220,990.68</w:t>
            </w:r>
          </w:p>
        </w:tc>
        <w:tc>
          <w:tcPr>
            <w:tcW w:w="243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22眉控01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6,161,547.95</w:t>
            </w:r>
          </w:p>
        </w:tc>
        <w:tc>
          <w:tcPr>
            <w:tcW w:w="243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22温国01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6,133,504.11</w:t>
            </w:r>
          </w:p>
        </w:tc>
        <w:tc>
          <w:tcPr>
            <w:tcW w:w="243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22川菜01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6,094,380.82</w:t>
            </w:r>
          </w:p>
        </w:tc>
        <w:tc>
          <w:tcPr>
            <w:tcW w:w="243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21眉府01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4,209,380.82</w:t>
            </w:r>
          </w:p>
        </w:tc>
        <w:tc>
          <w:tcPr>
            <w:tcW w:w="243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21自高债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4,112,252.05</w:t>
            </w:r>
          </w:p>
        </w:tc>
        <w:tc>
          <w:tcPr>
            <w:tcW w:w="243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22翠屏01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4,006,372.60</w:t>
            </w:r>
          </w:p>
        </w:tc>
        <w:tc>
          <w:tcPr>
            <w:tcW w:w="243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bookmarkStart w:id="3" w:name="OLE_LINK5"/>
            <w:bookmarkStart w:id="4" w:name="OLE_LINK6"/>
            <w:r>
              <w:rPr>
                <w:rFonts w:ascii="宋体" w:hAnsi="宋体"/>
              </w:rPr>
              <w:t>5.47</w:t>
            </w:r>
            <w:bookmarkEnd w:id="3"/>
            <w:bookmarkEnd w:id="4"/>
          </w:p>
        </w:tc>
      </w:tr>
    </w:tbl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>
      <w:pPr>
        <w:ind w:left="424" w:leftChars="202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注：前十项资产明细仅包含证券投资、场外投资，不包含银行存款、存出保证金、清算备付金等资产。</w:t>
      </w:r>
    </w:p>
    <w:p>
      <w:pPr>
        <w:pStyle w:val="40"/>
      </w:pPr>
      <w:r>
        <w:t>托管人报告</w:t>
      </w:r>
    </w:p>
    <w:p>
      <w:pPr>
        <w:spacing w:line="360" w:lineRule="auto"/>
        <w:ind w:right="-107" w:rightChars="-51"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招商银行具备完善的公司治理结构、内部稽核监控制度和风险控制制度，我行在履行托管职责中，严格遵守有关法律法规、托管协议的规定，尽职尽责地履行托管义务并安全保管托管资产。</w:t>
      </w:r>
    </w:p>
    <w:p>
      <w:pPr>
        <w:pStyle w:val="40"/>
        <w:bidi w:val="0"/>
        <w:ind w:left="420" w:leftChars="0" w:hanging="420" w:firstLineChars="0"/>
        <w:rPr>
          <w:rFonts w:hint="eastAsia"/>
          <w:lang w:val="en-US" w:eastAsia="zh-CN"/>
        </w:rPr>
      </w:pPr>
      <w:bookmarkStart w:id="5" w:name="_GoBack"/>
      <w:r>
        <w:rPr>
          <w:rFonts w:hint="eastAsia"/>
          <w:lang w:val="en-US" w:eastAsia="zh-CN"/>
        </w:rPr>
        <w:t>关联交易情况说明</w:t>
      </w:r>
    </w:p>
    <w:p>
      <w:pPr>
        <w:pStyle w:val="3"/>
        <w:ind w:firstLine="420" w:firstLineChars="200"/>
        <w:rPr>
          <w:rFonts w:hint="default" w:ascii="宋体" w:hAnsi="宋体" w:eastAsia="宋体" w:cs="Times New Roman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kern w:val="2"/>
          <w:sz w:val="21"/>
          <w:szCs w:val="21"/>
          <w:lang w:val="en-US" w:eastAsia="zh-CN" w:bidi="ar-SA"/>
        </w:rPr>
        <w:t>本报告期末，本产品投资的21眉府01</w:t>
      </w:r>
      <w:r>
        <w:rPr>
          <w:rFonts w:hint="eastAsia" w:ascii="宋体" w:hAnsi="宋体" w:eastAsia="宋体" w:cs="Times New Roman"/>
          <w:b w:val="0"/>
          <w:bCs w:val="0"/>
          <w:kern w:val="2"/>
          <w:sz w:val="21"/>
          <w:szCs w:val="21"/>
          <w:lang w:val="en-US" w:eastAsia="zh-CN" w:bidi="ar-SA"/>
        </w:rPr>
        <w:t>属于关</w:t>
      </w:r>
      <w:r>
        <w:rPr>
          <w:rFonts w:hint="eastAsia" w:ascii="宋体" w:hAnsi="宋体" w:cs="Times New Roman"/>
          <w:b w:val="0"/>
          <w:bCs w:val="0"/>
          <w:kern w:val="2"/>
          <w:sz w:val="21"/>
          <w:szCs w:val="21"/>
          <w:lang w:val="en-US" w:eastAsia="zh-CN" w:bidi="ar-SA"/>
        </w:rPr>
        <w:t>联交易。</w:t>
      </w:r>
    </w:p>
    <w:bookmarkEnd w:id="5"/>
    <w:p>
      <w:pPr>
        <w:jc w:val="left"/>
        <w:rPr>
          <w:rFonts w:asciiTheme="minorEastAsia" w:hAnsiTheme="minorEastAsia" w:eastAsiaTheme="minorEastAsia"/>
          <w:szCs w:val="21"/>
        </w:rPr>
      </w:pPr>
    </w:p>
    <w:p>
      <w:pPr>
        <w:jc w:val="right"/>
        <w:rPr>
          <w:rFonts w:ascii="宋体" w:hAnsi="宋体"/>
          <w:sz w:val="24"/>
        </w:rPr>
      </w:pPr>
    </w:p>
    <w:p>
      <w:pPr>
        <w:jc w:val="right"/>
        <w:rPr>
          <w:rFonts w:ascii="宋体" w:hAnsi="宋体"/>
          <w:sz w:val="24"/>
        </w:rPr>
      </w:pPr>
    </w:p>
    <w:p>
      <w:pPr>
        <w:jc w:val="right"/>
        <w:rPr>
          <w:rFonts w:ascii="宋体" w:hAnsi="宋体"/>
          <w:sz w:val="24"/>
        </w:rPr>
      </w:pPr>
    </w:p>
    <w:p>
      <w:pPr>
        <w:jc w:val="right"/>
        <w:rPr>
          <w:rFonts w:ascii="宋体" w:hAnsi="宋体"/>
          <w:sz w:val="24"/>
        </w:rPr>
      </w:pPr>
    </w:p>
    <w:p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四川银行股份有限公司</w:t>
      </w:r>
    </w:p>
    <w:p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2023-07-15</w:t>
      </w:r>
      <w:r>
        <w:rPr>
          <w:rFonts w:hint="eastAsia" w:ascii="宋体" w:hAnsi="宋体"/>
          <w:sz w:val="28"/>
          <w:szCs w:val="28"/>
        </w:rPr>
        <w:t xml:space="preserve">                   </w:t>
      </w:r>
    </w:p>
    <w:sectPr>
      <w:footerReference r:id="rId3" w:type="default"/>
      <w:footerReference r:id="rId4" w:type="even"/>
      <w:pgSz w:w="11906" w:h="16838"/>
      <w:pgMar w:top="1440" w:right="1531" w:bottom="1134" w:left="1531" w:header="851" w:footer="992" w:gutter="0"/>
      <w:pgNumType w:fmt="decimal" w:start="1" w:chapSep="hyphen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right"/>
      <w:rPr>
        <w:rStyle w:val="20"/>
      </w:rPr>
    </w:pPr>
    <w:r>
      <w:rPr>
        <w:rStyle w:val="20"/>
        <w:rFonts w:hint="eastAsia"/>
      </w:rPr>
      <w:t xml:space="preserve"> </w:t>
    </w:r>
  </w:p>
  <w:p>
    <w:pPr>
      <w:pStyle w:val="10"/>
      <w:ind w:right="10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right"/>
      <w:rPr>
        <w:rStyle w:val="20"/>
      </w:rPr>
    </w:pPr>
    <w:r>
      <w:rPr>
        <w:rStyle w:val="20"/>
      </w:rPr>
      <w:fldChar w:fldCharType="begin"/>
    </w:r>
    <w:r>
      <w:rPr>
        <w:rStyle w:val="20"/>
      </w:rPr>
      <w:instrText xml:space="preserve">PAGE  </w:instrText>
    </w:r>
    <w:r>
      <w:rPr>
        <w:rStyle w:val="20"/>
      </w:rPr>
      <w:fldChar w:fldCharType="end"/>
    </w:r>
  </w:p>
  <w:p>
    <w:pPr>
      <w:pStyle w:val="10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7D73EE"/>
    <w:multiLevelType w:val="multilevel"/>
    <w:tmpl w:val="547D73EE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pStyle w:val="41"/>
      <w:suff w:val="space"/>
      <w:lvlText w:val="%1.%2"/>
      <w:lvlJc w:val="left"/>
      <w:pPr>
        <w:ind w:left="454" w:hanging="454"/>
      </w:pPr>
      <w:rPr>
        <w:rFonts w:hint="eastAsia"/>
      </w:rPr>
    </w:lvl>
    <w:lvl w:ilvl="2" w:tentative="0">
      <w:start w:val="1"/>
      <w:numFmt w:val="decimal"/>
      <w:pStyle w:val="42"/>
      <w:suff w:val="space"/>
      <w:lvlText w:val="%1.%2.%3"/>
      <w:lvlJc w:val="left"/>
      <w:pPr>
        <w:ind w:left="1050" w:hanging="624"/>
      </w:pPr>
      <w:rPr>
        <w:rFonts w:hint="eastAsia"/>
      </w:rPr>
    </w:lvl>
    <w:lvl w:ilvl="3" w:tentative="0">
      <w:start w:val="1"/>
      <w:numFmt w:val="decimal"/>
      <w:pStyle w:val="43"/>
      <w:suff w:val="space"/>
      <w:lvlText w:val="%1.%2.%3.%4"/>
      <w:lvlJc w:val="left"/>
      <w:pPr>
        <w:ind w:left="794" w:hanging="794"/>
      </w:pPr>
      <w:rPr>
        <w:rFonts w:hint="eastAsia"/>
      </w:rPr>
    </w:lvl>
    <w:lvl w:ilvl="4" w:tentative="0">
      <w:start w:val="1"/>
      <w:numFmt w:val="decimal"/>
      <w:pStyle w:val="44"/>
      <w:suff w:val="space"/>
      <w:lvlText w:val="%1.%2.%3.%4.%5"/>
      <w:lvlJc w:val="left"/>
      <w:pPr>
        <w:ind w:left="1021" w:hanging="1021"/>
      </w:pPr>
      <w:rPr>
        <w:rFonts w:hint="eastAsia"/>
      </w:rPr>
    </w:lvl>
    <w:lvl w:ilvl="5" w:tentative="0">
      <w:start w:val="1"/>
      <w:numFmt w:val="decimal"/>
      <w:pStyle w:val="45"/>
      <w:suff w:val="space"/>
      <w:lvlText w:val="%1.%2.%3.%4.%5.%6"/>
      <w:lvlJc w:val="left"/>
      <w:pPr>
        <w:ind w:left="1021" w:hanging="1021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7E1B1D2A"/>
    <w:multiLevelType w:val="multilevel"/>
    <w:tmpl w:val="7E1B1D2A"/>
    <w:lvl w:ilvl="0" w:tentative="0">
      <w:start w:val="1"/>
      <w:numFmt w:val="decimal"/>
      <w:pStyle w:val="40"/>
      <w:lvlText w:val="%1、"/>
      <w:lvlJc w:val="left"/>
      <w:pPr>
        <w:ind w:left="420" w:hanging="420"/>
      </w:pPr>
      <w:rPr>
        <w:rFonts w:hint="eastAsia"/>
        <w:spacing w:val="-2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A36"/>
    <w:rsid w:val="00011E30"/>
    <w:rsid w:val="00011E76"/>
    <w:rsid w:val="000167A6"/>
    <w:rsid w:val="00017B7D"/>
    <w:rsid w:val="000224FE"/>
    <w:rsid w:val="00024803"/>
    <w:rsid w:val="00024FA2"/>
    <w:rsid w:val="00025E0C"/>
    <w:rsid w:val="0002761E"/>
    <w:rsid w:val="00027C34"/>
    <w:rsid w:val="00035197"/>
    <w:rsid w:val="00036749"/>
    <w:rsid w:val="00036CDC"/>
    <w:rsid w:val="0003799B"/>
    <w:rsid w:val="00047F36"/>
    <w:rsid w:val="00055BE3"/>
    <w:rsid w:val="0006004E"/>
    <w:rsid w:val="0006022E"/>
    <w:rsid w:val="00062D58"/>
    <w:rsid w:val="000666E4"/>
    <w:rsid w:val="000739FE"/>
    <w:rsid w:val="00074396"/>
    <w:rsid w:val="000745C5"/>
    <w:rsid w:val="00074778"/>
    <w:rsid w:val="000811DB"/>
    <w:rsid w:val="00081814"/>
    <w:rsid w:val="000825DB"/>
    <w:rsid w:val="00083139"/>
    <w:rsid w:val="00084444"/>
    <w:rsid w:val="000954BC"/>
    <w:rsid w:val="000957D7"/>
    <w:rsid w:val="00096252"/>
    <w:rsid w:val="000A0247"/>
    <w:rsid w:val="000A1C35"/>
    <w:rsid w:val="000B049B"/>
    <w:rsid w:val="000B12F7"/>
    <w:rsid w:val="000B65EC"/>
    <w:rsid w:val="000C0357"/>
    <w:rsid w:val="000C5B47"/>
    <w:rsid w:val="000D078C"/>
    <w:rsid w:val="000D4CEA"/>
    <w:rsid w:val="000D5DDE"/>
    <w:rsid w:val="000E103E"/>
    <w:rsid w:val="000E2280"/>
    <w:rsid w:val="000E5BF4"/>
    <w:rsid w:val="000E7303"/>
    <w:rsid w:val="000E7594"/>
    <w:rsid w:val="000E7EE4"/>
    <w:rsid w:val="000F1CA3"/>
    <w:rsid w:val="000F1EB8"/>
    <w:rsid w:val="000F79B4"/>
    <w:rsid w:val="00123DCF"/>
    <w:rsid w:val="001241D2"/>
    <w:rsid w:val="00127EE5"/>
    <w:rsid w:val="00130058"/>
    <w:rsid w:val="001304CE"/>
    <w:rsid w:val="00130B97"/>
    <w:rsid w:val="00131F63"/>
    <w:rsid w:val="001321D3"/>
    <w:rsid w:val="001367E6"/>
    <w:rsid w:val="0013763A"/>
    <w:rsid w:val="00137F13"/>
    <w:rsid w:val="00142BF7"/>
    <w:rsid w:val="001438D5"/>
    <w:rsid w:val="001505C2"/>
    <w:rsid w:val="0015110C"/>
    <w:rsid w:val="0015418C"/>
    <w:rsid w:val="001546E3"/>
    <w:rsid w:val="00156CE7"/>
    <w:rsid w:val="001634F8"/>
    <w:rsid w:val="00172A27"/>
    <w:rsid w:val="00175535"/>
    <w:rsid w:val="0019201F"/>
    <w:rsid w:val="00196688"/>
    <w:rsid w:val="001A6A60"/>
    <w:rsid w:val="001A6DCE"/>
    <w:rsid w:val="001B0D81"/>
    <w:rsid w:val="001B2258"/>
    <w:rsid w:val="001B3575"/>
    <w:rsid w:val="001B43F0"/>
    <w:rsid w:val="001C4ACD"/>
    <w:rsid w:val="001C5999"/>
    <w:rsid w:val="001D364E"/>
    <w:rsid w:val="001E1A37"/>
    <w:rsid w:val="001E27AF"/>
    <w:rsid w:val="001E2A08"/>
    <w:rsid w:val="001E4B7A"/>
    <w:rsid w:val="001E7354"/>
    <w:rsid w:val="001E7E3E"/>
    <w:rsid w:val="001F28F0"/>
    <w:rsid w:val="001F4ADC"/>
    <w:rsid w:val="001F5BAE"/>
    <w:rsid w:val="001F7D68"/>
    <w:rsid w:val="00203F6A"/>
    <w:rsid w:val="00210223"/>
    <w:rsid w:val="0021036E"/>
    <w:rsid w:val="00212735"/>
    <w:rsid w:val="00212AC6"/>
    <w:rsid w:val="00217B81"/>
    <w:rsid w:val="00222DFB"/>
    <w:rsid w:val="00226962"/>
    <w:rsid w:val="00226D1D"/>
    <w:rsid w:val="00227C89"/>
    <w:rsid w:val="0024340D"/>
    <w:rsid w:val="00246E06"/>
    <w:rsid w:val="002520E6"/>
    <w:rsid w:val="00254241"/>
    <w:rsid w:val="002543ED"/>
    <w:rsid w:val="002550F8"/>
    <w:rsid w:val="00256F99"/>
    <w:rsid w:val="00261703"/>
    <w:rsid w:val="00265F21"/>
    <w:rsid w:val="002709E9"/>
    <w:rsid w:val="00285198"/>
    <w:rsid w:val="0028673C"/>
    <w:rsid w:val="00291837"/>
    <w:rsid w:val="00293CED"/>
    <w:rsid w:val="002A1060"/>
    <w:rsid w:val="002A6967"/>
    <w:rsid w:val="002B18D0"/>
    <w:rsid w:val="002B1BF7"/>
    <w:rsid w:val="002B2425"/>
    <w:rsid w:val="002B5C75"/>
    <w:rsid w:val="002B6AB0"/>
    <w:rsid w:val="002B6D92"/>
    <w:rsid w:val="002C0D52"/>
    <w:rsid w:val="002D3143"/>
    <w:rsid w:val="002D50E0"/>
    <w:rsid w:val="002D70F8"/>
    <w:rsid w:val="002E15C2"/>
    <w:rsid w:val="002E2A8D"/>
    <w:rsid w:val="002E366D"/>
    <w:rsid w:val="002E37D7"/>
    <w:rsid w:val="002E6930"/>
    <w:rsid w:val="002F1904"/>
    <w:rsid w:val="002F1EBF"/>
    <w:rsid w:val="002F244E"/>
    <w:rsid w:val="002F2A39"/>
    <w:rsid w:val="002F73B7"/>
    <w:rsid w:val="003017B8"/>
    <w:rsid w:val="00302E0B"/>
    <w:rsid w:val="0030728E"/>
    <w:rsid w:val="003170E3"/>
    <w:rsid w:val="003217E4"/>
    <w:rsid w:val="003245FC"/>
    <w:rsid w:val="003350C8"/>
    <w:rsid w:val="00336953"/>
    <w:rsid w:val="0034174F"/>
    <w:rsid w:val="00347E59"/>
    <w:rsid w:val="0035009E"/>
    <w:rsid w:val="00351099"/>
    <w:rsid w:val="00352670"/>
    <w:rsid w:val="0035379B"/>
    <w:rsid w:val="003545C4"/>
    <w:rsid w:val="00354AB0"/>
    <w:rsid w:val="00355F58"/>
    <w:rsid w:val="00362921"/>
    <w:rsid w:val="003629D6"/>
    <w:rsid w:val="0036621F"/>
    <w:rsid w:val="00370236"/>
    <w:rsid w:val="00370D1C"/>
    <w:rsid w:val="0037107A"/>
    <w:rsid w:val="0037163C"/>
    <w:rsid w:val="00372961"/>
    <w:rsid w:val="00373861"/>
    <w:rsid w:val="0037574C"/>
    <w:rsid w:val="00380B72"/>
    <w:rsid w:val="00386B5A"/>
    <w:rsid w:val="00391B1F"/>
    <w:rsid w:val="00392524"/>
    <w:rsid w:val="0039364C"/>
    <w:rsid w:val="00394EF9"/>
    <w:rsid w:val="00397112"/>
    <w:rsid w:val="00397200"/>
    <w:rsid w:val="003A0970"/>
    <w:rsid w:val="003A7C09"/>
    <w:rsid w:val="003B436D"/>
    <w:rsid w:val="003B7836"/>
    <w:rsid w:val="003C0A61"/>
    <w:rsid w:val="003C24AD"/>
    <w:rsid w:val="003C5071"/>
    <w:rsid w:val="003D0E86"/>
    <w:rsid w:val="003D15A3"/>
    <w:rsid w:val="003D39AE"/>
    <w:rsid w:val="003D4200"/>
    <w:rsid w:val="003D7D84"/>
    <w:rsid w:val="003E15D9"/>
    <w:rsid w:val="003E460E"/>
    <w:rsid w:val="003E7218"/>
    <w:rsid w:val="0040013A"/>
    <w:rsid w:val="0040127C"/>
    <w:rsid w:val="00415C27"/>
    <w:rsid w:val="004169FD"/>
    <w:rsid w:val="00420876"/>
    <w:rsid w:val="0042283D"/>
    <w:rsid w:val="004332EF"/>
    <w:rsid w:val="004405BC"/>
    <w:rsid w:val="0044179E"/>
    <w:rsid w:val="004422DD"/>
    <w:rsid w:val="00442C23"/>
    <w:rsid w:val="00442E16"/>
    <w:rsid w:val="0044354B"/>
    <w:rsid w:val="00444430"/>
    <w:rsid w:val="00445B1D"/>
    <w:rsid w:val="00445B84"/>
    <w:rsid w:val="00445B9F"/>
    <w:rsid w:val="00450537"/>
    <w:rsid w:val="00451D7B"/>
    <w:rsid w:val="0045697B"/>
    <w:rsid w:val="00457E70"/>
    <w:rsid w:val="0046347F"/>
    <w:rsid w:val="0046369D"/>
    <w:rsid w:val="00464A4B"/>
    <w:rsid w:val="00465827"/>
    <w:rsid w:val="00466631"/>
    <w:rsid w:val="00467018"/>
    <w:rsid w:val="0047019A"/>
    <w:rsid w:val="00475C49"/>
    <w:rsid w:val="00477FEC"/>
    <w:rsid w:val="00482F15"/>
    <w:rsid w:val="004864F2"/>
    <w:rsid w:val="00487E77"/>
    <w:rsid w:val="004925AF"/>
    <w:rsid w:val="00493D46"/>
    <w:rsid w:val="004976C7"/>
    <w:rsid w:val="00497AFF"/>
    <w:rsid w:val="004B6EF6"/>
    <w:rsid w:val="004C126D"/>
    <w:rsid w:val="004C2C74"/>
    <w:rsid w:val="004C439A"/>
    <w:rsid w:val="004C56A8"/>
    <w:rsid w:val="004C689C"/>
    <w:rsid w:val="004D2B6B"/>
    <w:rsid w:val="004D2D2A"/>
    <w:rsid w:val="004E2CFE"/>
    <w:rsid w:val="004E344E"/>
    <w:rsid w:val="004E4E80"/>
    <w:rsid w:val="004E53DD"/>
    <w:rsid w:val="004F50D0"/>
    <w:rsid w:val="004F55AB"/>
    <w:rsid w:val="004F5803"/>
    <w:rsid w:val="004F64A1"/>
    <w:rsid w:val="00500777"/>
    <w:rsid w:val="00501D92"/>
    <w:rsid w:val="00503B75"/>
    <w:rsid w:val="005066A6"/>
    <w:rsid w:val="00511DB9"/>
    <w:rsid w:val="00513688"/>
    <w:rsid w:val="00513763"/>
    <w:rsid w:val="00524F71"/>
    <w:rsid w:val="00527A49"/>
    <w:rsid w:val="005310A6"/>
    <w:rsid w:val="0053595B"/>
    <w:rsid w:val="00537901"/>
    <w:rsid w:val="00540DE6"/>
    <w:rsid w:val="00542A91"/>
    <w:rsid w:val="0054387B"/>
    <w:rsid w:val="005465B6"/>
    <w:rsid w:val="00554065"/>
    <w:rsid w:val="00555D8D"/>
    <w:rsid w:val="00560EAF"/>
    <w:rsid w:val="00572059"/>
    <w:rsid w:val="00573E83"/>
    <w:rsid w:val="005775FA"/>
    <w:rsid w:val="00583550"/>
    <w:rsid w:val="00591622"/>
    <w:rsid w:val="005947ED"/>
    <w:rsid w:val="00596277"/>
    <w:rsid w:val="005B6C71"/>
    <w:rsid w:val="005C208D"/>
    <w:rsid w:val="005C6300"/>
    <w:rsid w:val="005D0C97"/>
    <w:rsid w:val="005D2052"/>
    <w:rsid w:val="005D22EB"/>
    <w:rsid w:val="005D3D05"/>
    <w:rsid w:val="005E1666"/>
    <w:rsid w:val="005E1A2D"/>
    <w:rsid w:val="005E31BD"/>
    <w:rsid w:val="005E3ECA"/>
    <w:rsid w:val="005E4AD5"/>
    <w:rsid w:val="005E5183"/>
    <w:rsid w:val="005F4FA6"/>
    <w:rsid w:val="005F6FF9"/>
    <w:rsid w:val="005F71F6"/>
    <w:rsid w:val="00600E89"/>
    <w:rsid w:val="00603880"/>
    <w:rsid w:val="00603FEA"/>
    <w:rsid w:val="00604956"/>
    <w:rsid w:val="006108E0"/>
    <w:rsid w:val="00612615"/>
    <w:rsid w:val="00612ABC"/>
    <w:rsid w:val="00620EA2"/>
    <w:rsid w:val="00625E1C"/>
    <w:rsid w:val="00632039"/>
    <w:rsid w:val="00641758"/>
    <w:rsid w:val="00643676"/>
    <w:rsid w:val="006436D6"/>
    <w:rsid w:val="006458E3"/>
    <w:rsid w:val="006464AD"/>
    <w:rsid w:val="00647545"/>
    <w:rsid w:val="00647AB1"/>
    <w:rsid w:val="00655059"/>
    <w:rsid w:val="00660553"/>
    <w:rsid w:val="00663245"/>
    <w:rsid w:val="00663DE1"/>
    <w:rsid w:val="00664C86"/>
    <w:rsid w:val="00665902"/>
    <w:rsid w:val="006664D5"/>
    <w:rsid w:val="00667447"/>
    <w:rsid w:val="0067267E"/>
    <w:rsid w:val="00675178"/>
    <w:rsid w:val="006761C2"/>
    <w:rsid w:val="006771FF"/>
    <w:rsid w:val="00682943"/>
    <w:rsid w:val="00683D3B"/>
    <w:rsid w:val="006876F4"/>
    <w:rsid w:val="00692A30"/>
    <w:rsid w:val="00693EF1"/>
    <w:rsid w:val="00697DB7"/>
    <w:rsid w:val="006A307A"/>
    <w:rsid w:val="006B0B91"/>
    <w:rsid w:val="006B24E7"/>
    <w:rsid w:val="006B554E"/>
    <w:rsid w:val="006B5B87"/>
    <w:rsid w:val="006C21A8"/>
    <w:rsid w:val="006C49D3"/>
    <w:rsid w:val="006C742E"/>
    <w:rsid w:val="006D78DE"/>
    <w:rsid w:val="006E2B12"/>
    <w:rsid w:val="006E3BE7"/>
    <w:rsid w:val="006E5986"/>
    <w:rsid w:val="006E5F79"/>
    <w:rsid w:val="006E6073"/>
    <w:rsid w:val="006E7D51"/>
    <w:rsid w:val="006F01F5"/>
    <w:rsid w:val="006F05AC"/>
    <w:rsid w:val="006F1E99"/>
    <w:rsid w:val="006F26FB"/>
    <w:rsid w:val="006F2A9A"/>
    <w:rsid w:val="006F33DF"/>
    <w:rsid w:val="00710F9C"/>
    <w:rsid w:val="00711860"/>
    <w:rsid w:val="00714D1B"/>
    <w:rsid w:val="00717029"/>
    <w:rsid w:val="00720312"/>
    <w:rsid w:val="0072202C"/>
    <w:rsid w:val="0072288E"/>
    <w:rsid w:val="00730BF8"/>
    <w:rsid w:val="007313AE"/>
    <w:rsid w:val="0073667E"/>
    <w:rsid w:val="00740012"/>
    <w:rsid w:val="00741F34"/>
    <w:rsid w:val="00745B3A"/>
    <w:rsid w:val="0074780F"/>
    <w:rsid w:val="007502BB"/>
    <w:rsid w:val="007520B7"/>
    <w:rsid w:val="00752D2E"/>
    <w:rsid w:val="007539EE"/>
    <w:rsid w:val="00756CFF"/>
    <w:rsid w:val="00762F4A"/>
    <w:rsid w:val="007633CA"/>
    <w:rsid w:val="007663F0"/>
    <w:rsid w:val="00774DB3"/>
    <w:rsid w:val="00777511"/>
    <w:rsid w:val="00782BD3"/>
    <w:rsid w:val="00783A2D"/>
    <w:rsid w:val="0078701B"/>
    <w:rsid w:val="0079003D"/>
    <w:rsid w:val="00790F54"/>
    <w:rsid w:val="0079349C"/>
    <w:rsid w:val="007957D3"/>
    <w:rsid w:val="007A41FE"/>
    <w:rsid w:val="007A4FF1"/>
    <w:rsid w:val="007A5C4C"/>
    <w:rsid w:val="007A6008"/>
    <w:rsid w:val="007A66E8"/>
    <w:rsid w:val="007A67A8"/>
    <w:rsid w:val="007A6D6E"/>
    <w:rsid w:val="007C00B5"/>
    <w:rsid w:val="007C271F"/>
    <w:rsid w:val="007D4695"/>
    <w:rsid w:val="007D5F69"/>
    <w:rsid w:val="007D7D2D"/>
    <w:rsid w:val="007E24A8"/>
    <w:rsid w:val="007E6BBB"/>
    <w:rsid w:val="007F261A"/>
    <w:rsid w:val="007F4389"/>
    <w:rsid w:val="00805841"/>
    <w:rsid w:val="008067E9"/>
    <w:rsid w:val="008138C2"/>
    <w:rsid w:val="008207FC"/>
    <w:rsid w:val="00824A1A"/>
    <w:rsid w:val="0082723D"/>
    <w:rsid w:val="00830FB1"/>
    <w:rsid w:val="008318D4"/>
    <w:rsid w:val="00835C56"/>
    <w:rsid w:val="00835F60"/>
    <w:rsid w:val="0083628C"/>
    <w:rsid w:val="00840509"/>
    <w:rsid w:val="00840E2A"/>
    <w:rsid w:val="00841B85"/>
    <w:rsid w:val="0084484A"/>
    <w:rsid w:val="00845EAD"/>
    <w:rsid w:val="008509BD"/>
    <w:rsid w:val="008518FE"/>
    <w:rsid w:val="008631C4"/>
    <w:rsid w:val="00863246"/>
    <w:rsid w:val="008647E2"/>
    <w:rsid w:val="00865A3B"/>
    <w:rsid w:val="00867C1C"/>
    <w:rsid w:val="0087458E"/>
    <w:rsid w:val="00874F4C"/>
    <w:rsid w:val="00877005"/>
    <w:rsid w:val="0088112D"/>
    <w:rsid w:val="0088245D"/>
    <w:rsid w:val="00886D81"/>
    <w:rsid w:val="00893B6A"/>
    <w:rsid w:val="008A0C31"/>
    <w:rsid w:val="008A1EE5"/>
    <w:rsid w:val="008A2F62"/>
    <w:rsid w:val="008B10B5"/>
    <w:rsid w:val="008B3EC8"/>
    <w:rsid w:val="008B6C92"/>
    <w:rsid w:val="008B7CE7"/>
    <w:rsid w:val="008C3A26"/>
    <w:rsid w:val="008C42A4"/>
    <w:rsid w:val="008C53F1"/>
    <w:rsid w:val="008C5FF0"/>
    <w:rsid w:val="008D1AF9"/>
    <w:rsid w:val="008D2226"/>
    <w:rsid w:val="008E4405"/>
    <w:rsid w:val="008E4839"/>
    <w:rsid w:val="008E5D81"/>
    <w:rsid w:val="008E656C"/>
    <w:rsid w:val="008E704C"/>
    <w:rsid w:val="008F39A1"/>
    <w:rsid w:val="00902772"/>
    <w:rsid w:val="00903665"/>
    <w:rsid w:val="0090419E"/>
    <w:rsid w:val="00904C28"/>
    <w:rsid w:val="009053AC"/>
    <w:rsid w:val="00910979"/>
    <w:rsid w:val="00913FA1"/>
    <w:rsid w:val="00916263"/>
    <w:rsid w:val="00916B1E"/>
    <w:rsid w:val="00916CF7"/>
    <w:rsid w:val="00916F72"/>
    <w:rsid w:val="009200D9"/>
    <w:rsid w:val="00924290"/>
    <w:rsid w:val="0093136C"/>
    <w:rsid w:val="009361E0"/>
    <w:rsid w:val="00940851"/>
    <w:rsid w:val="00950E79"/>
    <w:rsid w:val="00953DC8"/>
    <w:rsid w:val="009541DC"/>
    <w:rsid w:val="00954DED"/>
    <w:rsid w:val="00957FBC"/>
    <w:rsid w:val="0096288A"/>
    <w:rsid w:val="0096360D"/>
    <w:rsid w:val="00963665"/>
    <w:rsid w:val="009647CE"/>
    <w:rsid w:val="00964DCE"/>
    <w:rsid w:val="009661C0"/>
    <w:rsid w:val="009713B5"/>
    <w:rsid w:val="0097695A"/>
    <w:rsid w:val="00982515"/>
    <w:rsid w:val="00985C6F"/>
    <w:rsid w:val="00987DA5"/>
    <w:rsid w:val="00996119"/>
    <w:rsid w:val="009A10CD"/>
    <w:rsid w:val="009B1BE6"/>
    <w:rsid w:val="009B2215"/>
    <w:rsid w:val="009B3F2A"/>
    <w:rsid w:val="009B493D"/>
    <w:rsid w:val="009B6017"/>
    <w:rsid w:val="009B77A4"/>
    <w:rsid w:val="009B7B34"/>
    <w:rsid w:val="009C02EB"/>
    <w:rsid w:val="009C263C"/>
    <w:rsid w:val="009C760C"/>
    <w:rsid w:val="009D22C9"/>
    <w:rsid w:val="009D59B1"/>
    <w:rsid w:val="009D6E38"/>
    <w:rsid w:val="009D7F30"/>
    <w:rsid w:val="009E7949"/>
    <w:rsid w:val="009F1173"/>
    <w:rsid w:val="009F2CE7"/>
    <w:rsid w:val="009F6300"/>
    <w:rsid w:val="00A03DAA"/>
    <w:rsid w:val="00A053A7"/>
    <w:rsid w:val="00A07072"/>
    <w:rsid w:val="00A1398C"/>
    <w:rsid w:val="00A16209"/>
    <w:rsid w:val="00A179D8"/>
    <w:rsid w:val="00A17F78"/>
    <w:rsid w:val="00A217B1"/>
    <w:rsid w:val="00A226D6"/>
    <w:rsid w:val="00A326C7"/>
    <w:rsid w:val="00A34E4F"/>
    <w:rsid w:val="00A36005"/>
    <w:rsid w:val="00A36F6E"/>
    <w:rsid w:val="00A40FDD"/>
    <w:rsid w:val="00A43B1A"/>
    <w:rsid w:val="00A476E2"/>
    <w:rsid w:val="00A52E27"/>
    <w:rsid w:val="00A66B88"/>
    <w:rsid w:val="00A7059A"/>
    <w:rsid w:val="00A73CCB"/>
    <w:rsid w:val="00A754BF"/>
    <w:rsid w:val="00A80900"/>
    <w:rsid w:val="00A9256F"/>
    <w:rsid w:val="00A94073"/>
    <w:rsid w:val="00A95724"/>
    <w:rsid w:val="00A97609"/>
    <w:rsid w:val="00AA0964"/>
    <w:rsid w:val="00AA0D73"/>
    <w:rsid w:val="00AB0553"/>
    <w:rsid w:val="00AB7F1E"/>
    <w:rsid w:val="00AC0253"/>
    <w:rsid w:val="00AC760B"/>
    <w:rsid w:val="00AD0E90"/>
    <w:rsid w:val="00AD267E"/>
    <w:rsid w:val="00AD5950"/>
    <w:rsid w:val="00AE7B09"/>
    <w:rsid w:val="00AF4B02"/>
    <w:rsid w:val="00AF5C38"/>
    <w:rsid w:val="00B01D6A"/>
    <w:rsid w:val="00B0308C"/>
    <w:rsid w:val="00B10E20"/>
    <w:rsid w:val="00B13755"/>
    <w:rsid w:val="00B14EDA"/>
    <w:rsid w:val="00B15B26"/>
    <w:rsid w:val="00B15EA7"/>
    <w:rsid w:val="00B218BF"/>
    <w:rsid w:val="00B27FD9"/>
    <w:rsid w:val="00B30A58"/>
    <w:rsid w:val="00B33E1B"/>
    <w:rsid w:val="00B35FBA"/>
    <w:rsid w:val="00B35FD4"/>
    <w:rsid w:val="00B40022"/>
    <w:rsid w:val="00B40969"/>
    <w:rsid w:val="00B4789A"/>
    <w:rsid w:val="00B51B53"/>
    <w:rsid w:val="00B527C6"/>
    <w:rsid w:val="00B63983"/>
    <w:rsid w:val="00B66459"/>
    <w:rsid w:val="00B7027A"/>
    <w:rsid w:val="00B719FD"/>
    <w:rsid w:val="00B71B7E"/>
    <w:rsid w:val="00B73D60"/>
    <w:rsid w:val="00B7675B"/>
    <w:rsid w:val="00B80918"/>
    <w:rsid w:val="00B81709"/>
    <w:rsid w:val="00B82529"/>
    <w:rsid w:val="00B91227"/>
    <w:rsid w:val="00B94D4D"/>
    <w:rsid w:val="00B9576A"/>
    <w:rsid w:val="00B959E0"/>
    <w:rsid w:val="00B9605D"/>
    <w:rsid w:val="00B96F7F"/>
    <w:rsid w:val="00BA2FE9"/>
    <w:rsid w:val="00BB2C8E"/>
    <w:rsid w:val="00BB3836"/>
    <w:rsid w:val="00BC6F6D"/>
    <w:rsid w:val="00BC79AA"/>
    <w:rsid w:val="00BC7BE2"/>
    <w:rsid w:val="00BD01DA"/>
    <w:rsid w:val="00BD1DC0"/>
    <w:rsid w:val="00BE1D4B"/>
    <w:rsid w:val="00BE2BF0"/>
    <w:rsid w:val="00BE491C"/>
    <w:rsid w:val="00BE4F1C"/>
    <w:rsid w:val="00BE6F0A"/>
    <w:rsid w:val="00BE7278"/>
    <w:rsid w:val="00BF2E9E"/>
    <w:rsid w:val="00BF5021"/>
    <w:rsid w:val="00BF6960"/>
    <w:rsid w:val="00C00573"/>
    <w:rsid w:val="00C01D6D"/>
    <w:rsid w:val="00C0394B"/>
    <w:rsid w:val="00C101D8"/>
    <w:rsid w:val="00C15724"/>
    <w:rsid w:val="00C16678"/>
    <w:rsid w:val="00C21599"/>
    <w:rsid w:val="00C244B2"/>
    <w:rsid w:val="00C30868"/>
    <w:rsid w:val="00C41372"/>
    <w:rsid w:val="00C41FD7"/>
    <w:rsid w:val="00C6082A"/>
    <w:rsid w:val="00C61509"/>
    <w:rsid w:val="00C62C53"/>
    <w:rsid w:val="00C64768"/>
    <w:rsid w:val="00C71158"/>
    <w:rsid w:val="00C71A97"/>
    <w:rsid w:val="00C736F6"/>
    <w:rsid w:val="00C81FCB"/>
    <w:rsid w:val="00C829CC"/>
    <w:rsid w:val="00C91212"/>
    <w:rsid w:val="00C92BC1"/>
    <w:rsid w:val="00C96435"/>
    <w:rsid w:val="00CA25E8"/>
    <w:rsid w:val="00CA2731"/>
    <w:rsid w:val="00CA4BB0"/>
    <w:rsid w:val="00CA7053"/>
    <w:rsid w:val="00CB4172"/>
    <w:rsid w:val="00CB57AB"/>
    <w:rsid w:val="00CB6D1B"/>
    <w:rsid w:val="00CC2A43"/>
    <w:rsid w:val="00CC36AC"/>
    <w:rsid w:val="00CC5AAE"/>
    <w:rsid w:val="00CC7CB2"/>
    <w:rsid w:val="00CD017B"/>
    <w:rsid w:val="00CD0859"/>
    <w:rsid w:val="00CD2493"/>
    <w:rsid w:val="00CD55EC"/>
    <w:rsid w:val="00CE36B7"/>
    <w:rsid w:val="00CE41F5"/>
    <w:rsid w:val="00CE4391"/>
    <w:rsid w:val="00CF0D9C"/>
    <w:rsid w:val="00CF2FB6"/>
    <w:rsid w:val="00CF4250"/>
    <w:rsid w:val="00CF49DA"/>
    <w:rsid w:val="00CF5AE8"/>
    <w:rsid w:val="00CF67B5"/>
    <w:rsid w:val="00CF67E8"/>
    <w:rsid w:val="00CF7C5F"/>
    <w:rsid w:val="00D02236"/>
    <w:rsid w:val="00D046D2"/>
    <w:rsid w:val="00D06468"/>
    <w:rsid w:val="00D1017D"/>
    <w:rsid w:val="00D11282"/>
    <w:rsid w:val="00D11D55"/>
    <w:rsid w:val="00D14569"/>
    <w:rsid w:val="00D15B0F"/>
    <w:rsid w:val="00D25096"/>
    <w:rsid w:val="00D2614B"/>
    <w:rsid w:val="00D3035E"/>
    <w:rsid w:val="00D30B4B"/>
    <w:rsid w:val="00D31FD3"/>
    <w:rsid w:val="00D3496C"/>
    <w:rsid w:val="00D3643E"/>
    <w:rsid w:val="00D40841"/>
    <w:rsid w:val="00D411DB"/>
    <w:rsid w:val="00D452EA"/>
    <w:rsid w:val="00D57ABE"/>
    <w:rsid w:val="00D60D0A"/>
    <w:rsid w:val="00D63034"/>
    <w:rsid w:val="00D664DF"/>
    <w:rsid w:val="00D72C48"/>
    <w:rsid w:val="00D7572D"/>
    <w:rsid w:val="00D76EC7"/>
    <w:rsid w:val="00D806F7"/>
    <w:rsid w:val="00D90E8B"/>
    <w:rsid w:val="00D964B6"/>
    <w:rsid w:val="00DA06CF"/>
    <w:rsid w:val="00DA2107"/>
    <w:rsid w:val="00DA482F"/>
    <w:rsid w:val="00DA4F8D"/>
    <w:rsid w:val="00DA567B"/>
    <w:rsid w:val="00DA700A"/>
    <w:rsid w:val="00DB10DE"/>
    <w:rsid w:val="00DC0BCD"/>
    <w:rsid w:val="00DC63EA"/>
    <w:rsid w:val="00DC7755"/>
    <w:rsid w:val="00DD0776"/>
    <w:rsid w:val="00DD2D10"/>
    <w:rsid w:val="00DD493A"/>
    <w:rsid w:val="00DE0BA7"/>
    <w:rsid w:val="00DF1B60"/>
    <w:rsid w:val="00DF64FE"/>
    <w:rsid w:val="00DF70DD"/>
    <w:rsid w:val="00E05CBD"/>
    <w:rsid w:val="00E133C1"/>
    <w:rsid w:val="00E13A22"/>
    <w:rsid w:val="00E22023"/>
    <w:rsid w:val="00E24F6C"/>
    <w:rsid w:val="00E25FBD"/>
    <w:rsid w:val="00E27C54"/>
    <w:rsid w:val="00E33DFC"/>
    <w:rsid w:val="00E36DC0"/>
    <w:rsid w:val="00E40C11"/>
    <w:rsid w:val="00E504F9"/>
    <w:rsid w:val="00E5307C"/>
    <w:rsid w:val="00E5314E"/>
    <w:rsid w:val="00E538A2"/>
    <w:rsid w:val="00E65FF2"/>
    <w:rsid w:val="00E67113"/>
    <w:rsid w:val="00E67390"/>
    <w:rsid w:val="00E732A5"/>
    <w:rsid w:val="00E757CD"/>
    <w:rsid w:val="00E76293"/>
    <w:rsid w:val="00E773EF"/>
    <w:rsid w:val="00E841D0"/>
    <w:rsid w:val="00E84CB6"/>
    <w:rsid w:val="00E8759A"/>
    <w:rsid w:val="00E915A7"/>
    <w:rsid w:val="00E9363B"/>
    <w:rsid w:val="00E966EE"/>
    <w:rsid w:val="00EA0D8E"/>
    <w:rsid w:val="00EA4ECB"/>
    <w:rsid w:val="00EA78F0"/>
    <w:rsid w:val="00EB0365"/>
    <w:rsid w:val="00EB1D83"/>
    <w:rsid w:val="00EB210F"/>
    <w:rsid w:val="00EB3AB1"/>
    <w:rsid w:val="00EC2261"/>
    <w:rsid w:val="00ED09EC"/>
    <w:rsid w:val="00ED2B43"/>
    <w:rsid w:val="00EE161E"/>
    <w:rsid w:val="00EE26EB"/>
    <w:rsid w:val="00EE2B73"/>
    <w:rsid w:val="00EF0326"/>
    <w:rsid w:val="00EF0F0F"/>
    <w:rsid w:val="00EF712F"/>
    <w:rsid w:val="00F0048F"/>
    <w:rsid w:val="00F01F55"/>
    <w:rsid w:val="00F141A9"/>
    <w:rsid w:val="00F1772D"/>
    <w:rsid w:val="00F22C55"/>
    <w:rsid w:val="00F270CF"/>
    <w:rsid w:val="00F301E8"/>
    <w:rsid w:val="00F323E3"/>
    <w:rsid w:val="00F34D29"/>
    <w:rsid w:val="00F35C2C"/>
    <w:rsid w:val="00F36C13"/>
    <w:rsid w:val="00F44F0C"/>
    <w:rsid w:val="00F45974"/>
    <w:rsid w:val="00F45EFD"/>
    <w:rsid w:val="00F51B8A"/>
    <w:rsid w:val="00F53A4B"/>
    <w:rsid w:val="00F64D16"/>
    <w:rsid w:val="00F65B50"/>
    <w:rsid w:val="00F66D00"/>
    <w:rsid w:val="00F67B3D"/>
    <w:rsid w:val="00F733D2"/>
    <w:rsid w:val="00F87CF1"/>
    <w:rsid w:val="00F906DF"/>
    <w:rsid w:val="00F934DE"/>
    <w:rsid w:val="00F941F7"/>
    <w:rsid w:val="00F95832"/>
    <w:rsid w:val="00F9693E"/>
    <w:rsid w:val="00F973AF"/>
    <w:rsid w:val="00F9745A"/>
    <w:rsid w:val="00FA5CE9"/>
    <w:rsid w:val="00FA6695"/>
    <w:rsid w:val="00FA794C"/>
    <w:rsid w:val="00FB1C77"/>
    <w:rsid w:val="00FB3F6A"/>
    <w:rsid w:val="00FD2905"/>
    <w:rsid w:val="00FE1CEA"/>
    <w:rsid w:val="00FE3C8E"/>
    <w:rsid w:val="00FE3E86"/>
    <w:rsid w:val="00FE4490"/>
    <w:rsid w:val="00FE51F2"/>
    <w:rsid w:val="00FE52AD"/>
    <w:rsid w:val="00FE5547"/>
    <w:rsid w:val="00FF15E9"/>
    <w:rsid w:val="00FF6973"/>
    <w:rsid w:val="1D6E6473"/>
    <w:rsid w:val="78FC1C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nhideWhenUsed="0" w:uiPriority="0" w:semiHidden="0" w:name="footnote reference"/>
    <w:lsdException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iPriority="22" w:name="Strong"/>
    <w:lsdException w:qFormat="1" w:uiPriority="20" w:name="Emphasis"/>
    <w:lsdException w:unhideWhenUsed="0" w:uiPriority="0" w:semiHidden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 w:eastAsia="zh-CN"/>
    </w:rPr>
  </w:style>
  <w:style w:type="paragraph" w:styleId="3">
    <w:name w:val="heading 2"/>
    <w:basedOn w:val="1"/>
    <w:next w:val="1"/>
    <w:link w:val="2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zh-CN" w:eastAsia="zh-CN"/>
    </w:rPr>
  </w:style>
  <w:style w:type="paragraph" w:styleId="4">
    <w:name w:val="heading 3"/>
    <w:basedOn w:val="1"/>
    <w:next w:val="1"/>
    <w:link w:val="23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zh-CN" w:eastAsia="zh-CN"/>
    </w:rPr>
  </w:style>
  <w:style w:type="paragraph" w:styleId="5">
    <w:name w:val="heading 4"/>
    <w:basedOn w:val="1"/>
    <w:next w:val="1"/>
    <w:link w:val="33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  <w:lang w:val="zh-CN" w:eastAsia="zh-CN"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uiPriority w:val="0"/>
    <w:pPr>
      <w:shd w:val="clear" w:color="auto" w:fill="000080"/>
    </w:p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Date"/>
    <w:basedOn w:val="1"/>
    <w:next w:val="1"/>
    <w:link w:val="48"/>
    <w:qFormat/>
    <w:uiPriority w:val="0"/>
    <w:rPr>
      <w:rFonts w:ascii="宋体"/>
      <w:sz w:val="32"/>
      <w:lang w:val="zh-CN" w:eastAsia="zh-CN"/>
    </w:rPr>
  </w:style>
  <w:style w:type="paragraph" w:styleId="9">
    <w:name w:val="Balloon Text"/>
    <w:basedOn w:val="1"/>
    <w:uiPriority w:val="0"/>
    <w:rPr>
      <w:sz w:val="18"/>
      <w:szCs w:val="18"/>
    </w:rPr>
  </w:style>
  <w:style w:type="paragraph" w:styleId="10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Subtitle"/>
    <w:basedOn w:val="3"/>
    <w:next w:val="4"/>
    <w:link w:val="25"/>
    <w:qFormat/>
    <w:uiPriority w:val="0"/>
    <w:pPr>
      <w:spacing w:before="240" w:after="60" w:line="312" w:lineRule="auto"/>
      <w:jc w:val="left"/>
    </w:pPr>
    <w:rPr>
      <w:bCs w:val="0"/>
      <w:kern w:val="28"/>
      <w:sz w:val="24"/>
    </w:rPr>
  </w:style>
  <w:style w:type="paragraph" w:styleId="13">
    <w:name w:val="footnote text"/>
    <w:basedOn w:val="1"/>
    <w:link w:val="47"/>
    <w:uiPriority w:val="0"/>
    <w:pPr>
      <w:snapToGrid w:val="0"/>
      <w:jc w:val="left"/>
    </w:pPr>
    <w:rPr>
      <w:sz w:val="18"/>
      <w:szCs w:val="18"/>
      <w:lang w:val="zh-CN" w:eastAsia="zh-CN"/>
    </w:rPr>
  </w:style>
  <w:style w:type="paragraph" w:styleId="1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5">
    <w:name w:val="Title"/>
    <w:basedOn w:val="2"/>
    <w:next w:val="3"/>
    <w:link w:val="28"/>
    <w:qFormat/>
    <w:uiPriority w:val="10"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paragraph" w:styleId="16">
    <w:name w:val="annotation subject"/>
    <w:basedOn w:val="7"/>
    <w:next w:val="7"/>
    <w:uiPriority w:val="0"/>
    <w:rPr>
      <w:b/>
      <w:bCs/>
    </w:rPr>
  </w:style>
  <w:style w:type="table" w:styleId="18">
    <w:name w:val="Table Grid"/>
    <w:basedOn w:val="17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page number"/>
    <w:basedOn w:val="19"/>
    <w:qFormat/>
    <w:uiPriority w:val="0"/>
  </w:style>
  <w:style w:type="character" w:styleId="21">
    <w:name w:val="annotation reference"/>
    <w:uiPriority w:val="0"/>
    <w:rPr>
      <w:sz w:val="21"/>
      <w:szCs w:val="21"/>
    </w:rPr>
  </w:style>
  <w:style w:type="character" w:styleId="22">
    <w:name w:val="footnote reference"/>
    <w:uiPriority w:val="0"/>
    <w:rPr>
      <w:vertAlign w:val="superscript"/>
    </w:rPr>
  </w:style>
  <w:style w:type="character" w:customStyle="1" w:styleId="23">
    <w:name w:val="标题 3 字符"/>
    <w:link w:val="4"/>
    <w:uiPriority w:val="9"/>
    <w:rPr>
      <w:b/>
      <w:bCs/>
      <w:sz w:val="32"/>
      <w:szCs w:val="32"/>
    </w:rPr>
  </w:style>
  <w:style w:type="character" w:customStyle="1" w:styleId="24">
    <w:name w:val="CODE"/>
    <w:uiPriority w:val="0"/>
    <w:rPr>
      <w:rFonts w:ascii="Courier New" w:hAnsi="Courier New"/>
      <w:spacing w:val="-10"/>
      <w:sz w:val="20"/>
      <w:lang w:val="en-GB" w:eastAsia="zh-CN"/>
    </w:rPr>
  </w:style>
  <w:style w:type="character" w:customStyle="1" w:styleId="25">
    <w:name w:val="副标题 字符"/>
    <w:link w:val="12"/>
    <w:uiPriority w:val="0"/>
    <w:rPr>
      <w:rFonts w:ascii="Cambria" w:hAnsi="Cambria" w:eastAsia="宋体" w:cs="Times New Roman"/>
      <w:b/>
      <w:kern w:val="28"/>
      <w:sz w:val="24"/>
      <w:szCs w:val="32"/>
    </w:rPr>
  </w:style>
  <w:style w:type="character" w:customStyle="1" w:styleId="26">
    <w:name w:val="标题 1 字符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7">
    <w:name w:val="标题 2 字符"/>
    <w:link w:val="3"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8">
    <w:name w:val="标题 字符"/>
    <w:link w:val="15"/>
    <w:uiPriority w:val="10"/>
    <w:rPr>
      <w:rFonts w:ascii="Cambria" w:hAnsi="Cambria" w:cs="Times New Roman"/>
      <w:b/>
      <w:bCs/>
      <w:sz w:val="32"/>
      <w:szCs w:val="32"/>
    </w:rPr>
  </w:style>
  <w:style w:type="paragraph" w:customStyle="1" w:styleId="29">
    <w:name w:val="xl33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30">
    <w:name w:val="Char Char Char Char Char Char1 Char Char Char"/>
    <w:basedOn w:val="1"/>
    <w:uiPriority w:val="0"/>
    <w:pPr>
      <w:autoSpaceDE w:val="0"/>
      <w:autoSpaceDN w:val="0"/>
      <w:adjustRightInd w:val="0"/>
      <w:jc w:val="left"/>
      <w:textAlignment w:val="baseline"/>
    </w:pPr>
    <w:rPr>
      <w:rFonts w:ascii="宋体"/>
      <w:kern w:val="0"/>
      <w:sz w:val="34"/>
    </w:rPr>
  </w:style>
  <w:style w:type="paragraph" w:customStyle="1" w:styleId="31">
    <w:name w:val="次标题"/>
    <w:basedOn w:val="4"/>
    <w:next w:val="1"/>
    <w:uiPriority w:val="0"/>
    <w:pPr>
      <w:jc w:val="left"/>
    </w:pPr>
    <w:rPr>
      <w:rFonts w:ascii="宋体" w:hAnsi="宋体"/>
      <w:sz w:val="24"/>
      <w:szCs w:val="24"/>
    </w:rPr>
  </w:style>
  <w:style w:type="paragraph" w:customStyle="1" w:styleId="32">
    <w:name w:val="Char"/>
    <w:basedOn w:val="1"/>
    <w:qFormat/>
    <w:uiPriority w:val="0"/>
  </w:style>
  <w:style w:type="character" w:customStyle="1" w:styleId="33">
    <w:name w:val="标题 4 字符"/>
    <w:link w:val="5"/>
    <w:semiHidden/>
    <w:uiPriority w:val="0"/>
    <w:rPr>
      <w:rFonts w:ascii="Cambria" w:hAnsi="Cambria" w:eastAsia="宋体" w:cs="Times New Roman"/>
      <w:b/>
      <w:bCs/>
      <w:sz w:val="28"/>
      <w:szCs w:val="28"/>
    </w:rPr>
  </w:style>
  <w:style w:type="paragraph" w:customStyle="1" w:styleId="34">
    <w:name w:val="XBRL标题1"/>
    <w:basedOn w:val="2"/>
    <w:next w:val="3"/>
    <w:qFormat/>
    <w:uiPriority w:val="0"/>
    <w:pPr>
      <w:spacing w:beforeLines="50" w:afterLines="50" w:line="240" w:lineRule="auto"/>
      <w:jc w:val="center"/>
    </w:pPr>
    <w:rPr>
      <w:rFonts w:ascii="Cambria" w:hAnsi="Cambria"/>
      <w:sz w:val="28"/>
    </w:rPr>
  </w:style>
  <w:style w:type="paragraph" w:customStyle="1" w:styleId="35">
    <w:name w:val="XBRL标题2"/>
    <w:basedOn w:val="12"/>
    <w:next w:val="5"/>
    <w:qFormat/>
    <w:uiPriority w:val="0"/>
    <w:pPr>
      <w:spacing w:beforeLines="50" w:afterLines="50" w:line="240" w:lineRule="auto"/>
    </w:pPr>
    <w:rPr>
      <w:bCs/>
    </w:rPr>
  </w:style>
  <w:style w:type="paragraph" w:customStyle="1" w:styleId="36">
    <w:name w:val="XBRL标题3"/>
    <w:basedOn w:val="12"/>
    <w:next w:val="5"/>
    <w:qFormat/>
    <w:uiPriority w:val="0"/>
    <w:pPr>
      <w:spacing w:beforeLines="50" w:afterLines="50" w:line="240" w:lineRule="auto"/>
      <w:outlineLvl w:val="9"/>
    </w:pPr>
    <w:rPr>
      <w:bCs/>
    </w:rPr>
  </w:style>
  <w:style w:type="paragraph" w:customStyle="1" w:styleId="37">
    <w:name w:val="XBRL标题4"/>
    <w:basedOn w:val="12"/>
    <w:next w:val="5"/>
    <w:qFormat/>
    <w:uiPriority w:val="0"/>
    <w:pPr>
      <w:spacing w:beforeLines="50" w:afterLines="50" w:line="240" w:lineRule="auto"/>
      <w:outlineLvl w:val="9"/>
    </w:pPr>
    <w:rPr>
      <w:bCs/>
    </w:rPr>
  </w:style>
  <w:style w:type="paragraph" w:customStyle="1" w:styleId="38">
    <w:name w:val="XBRL标题5"/>
    <w:basedOn w:val="12"/>
    <w:next w:val="5"/>
    <w:qFormat/>
    <w:uiPriority w:val="0"/>
    <w:pPr>
      <w:spacing w:beforeLines="50" w:afterLines="50" w:line="240" w:lineRule="auto"/>
      <w:outlineLvl w:val="9"/>
    </w:pPr>
    <w:rPr>
      <w:bCs/>
    </w:rPr>
  </w:style>
  <w:style w:type="paragraph" w:customStyle="1" w:styleId="39">
    <w:name w:val="XBRL标题6"/>
    <w:basedOn w:val="12"/>
    <w:next w:val="5"/>
    <w:qFormat/>
    <w:uiPriority w:val="0"/>
    <w:pPr>
      <w:spacing w:beforeLines="50" w:afterLines="50" w:line="240" w:lineRule="auto"/>
      <w:outlineLvl w:val="9"/>
    </w:pPr>
    <w:rPr>
      <w:bCs/>
    </w:rPr>
  </w:style>
  <w:style w:type="paragraph" w:customStyle="1" w:styleId="40">
    <w:name w:val="XBRLTitle1"/>
    <w:basedOn w:val="2"/>
    <w:next w:val="3"/>
    <w:qFormat/>
    <w:uiPriority w:val="0"/>
    <w:pPr>
      <w:numPr>
        <w:ilvl w:val="0"/>
        <w:numId w:val="1"/>
      </w:numPr>
      <w:spacing w:before="156" w:beforeLines="50" w:after="156" w:afterLines="50" w:line="240" w:lineRule="auto"/>
      <w:jc w:val="left"/>
    </w:pPr>
    <w:rPr>
      <w:rFonts w:ascii="Cambria" w:hAnsi="Cambria"/>
      <w:sz w:val="28"/>
    </w:rPr>
  </w:style>
  <w:style w:type="paragraph" w:customStyle="1" w:styleId="41">
    <w:name w:val="XBRLTitle2"/>
    <w:basedOn w:val="12"/>
    <w:next w:val="5"/>
    <w:qFormat/>
    <w:uiPriority w:val="0"/>
    <w:pPr>
      <w:numPr>
        <w:ilvl w:val="1"/>
        <w:numId w:val="2"/>
      </w:numPr>
      <w:spacing w:beforeLines="50" w:afterLines="50" w:line="240" w:lineRule="auto"/>
    </w:pPr>
    <w:rPr>
      <w:bCs/>
    </w:rPr>
  </w:style>
  <w:style w:type="paragraph" w:customStyle="1" w:styleId="42">
    <w:name w:val="XBRLTitle3"/>
    <w:basedOn w:val="12"/>
    <w:next w:val="5"/>
    <w:qFormat/>
    <w:uiPriority w:val="0"/>
    <w:pPr>
      <w:numPr>
        <w:ilvl w:val="2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43">
    <w:name w:val="XBRLTitle4"/>
    <w:basedOn w:val="12"/>
    <w:next w:val="5"/>
    <w:qFormat/>
    <w:uiPriority w:val="0"/>
    <w:pPr>
      <w:numPr>
        <w:ilvl w:val="3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44">
    <w:name w:val="XBRLTitle5"/>
    <w:basedOn w:val="12"/>
    <w:next w:val="5"/>
    <w:qFormat/>
    <w:uiPriority w:val="0"/>
    <w:pPr>
      <w:numPr>
        <w:ilvl w:val="4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45">
    <w:name w:val="XBRLTitle6"/>
    <w:basedOn w:val="12"/>
    <w:next w:val="5"/>
    <w:qFormat/>
    <w:uiPriority w:val="0"/>
    <w:pPr>
      <w:numPr>
        <w:ilvl w:val="5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46">
    <w:name w:val="Default"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  <w:style w:type="character" w:customStyle="1" w:styleId="47">
    <w:name w:val="脚注文本 字符"/>
    <w:link w:val="13"/>
    <w:qFormat/>
    <w:uiPriority w:val="0"/>
    <w:rPr>
      <w:kern w:val="2"/>
      <w:sz w:val="18"/>
      <w:szCs w:val="18"/>
    </w:rPr>
  </w:style>
  <w:style w:type="character" w:customStyle="1" w:styleId="48">
    <w:name w:val="日期 字符"/>
    <w:link w:val="8"/>
    <w:qFormat/>
    <w:uiPriority w:val="0"/>
    <w:rPr>
      <w:rFonts w:ascii="宋体"/>
      <w:kern w:val="2"/>
      <w:sz w:val="32"/>
    </w:rPr>
  </w:style>
  <w:style w:type="paragraph" w:styleId="49">
    <w:name w:val="List Paragraph"/>
    <w:basedOn w:val="1"/>
    <w:qFormat/>
    <w:uiPriority w:val="34"/>
    <w:pPr>
      <w:ind w:firstLine="420" w:firstLineChars="200"/>
    </w:pPr>
  </w:style>
  <w:style w:type="paragraph" w:customStyle="1" w:styleId="50">
    <w:name w:val="Char1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s\FA&#22806;&#21253;-LU70\WbWeb\TBCoreV2\TBCore.Web\Report\Template\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C33ED8-1EE1-4735-B60D-8861986437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Lenovo</Company>
  <Pages>4</Pages>
  <Words>292</Words>
  <Characters>1665</Characters>
  <Lines>13</Lines>
  <Paragraphs>3</Paragraphs>
  <TotalTime>0</TotalTime>
  <ScaleCrop>false</ScaleCrop>
  <LinksUpToDate>false</LinksUpToDate>
  <CharactersWithSpaces>1954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2020-01-07T12:08:00Z</dcterms:created>
  <dc:creator>yss</dc:creator>
  <cp:lastModifiedBy>80308982</cp:lastModifiedBy>
  <cp:lastPrinted>2411-12-31T16:00:00Z</cp:lastPrinted>
  <dcterms:modified xsi:type="dcterms:W3CDTF">2023-07-03T07:47:55Z</dcterms:modified>
  <dc:title>gongGaoMingCheng</dc:title>
  <cp:revision>149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Generator">
    <vt:lpwstr>NPOI</vt:lpwstr>
  </property>
  <property fmtid="{D5CDD505-2E9C-101B-9397-08002B2CF9AE}" pid="4" name="Generator Version">
    <vt:lpwstr>2.2.1</vt:lpwstr>
  </property>
</Properties>
</file>