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B6" w:rsidRDefault="00D462B5">
      <w:pPr>
        <w:widowControl/>
        <w:jc w:val="center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b/>
          <w:color w:val="000000"/>
          <w:kern w:val="0"/>
          <w:sz w:val="36"/>
          <w:szCs w:val="20"/>
        </w:rPr>
        <w:t>季度报告</w:t>
      </w:r>
    </w:p>
    <w:p w:rsidR="00925DB6" w:rsidRDefault="00D462B5">
      <w:pPr>
        <w:jc w:val="center"/>
        <w:rPr>
          <w:rFonts w:ascii="仿宋" w:eastAsia="仿宋" w:hAnsi="仿宋" w:cs="Times New Roman"/>
          <w:color w:val="000000"/>
          <w:kern w:val="0"/>
          <w:sz w:val="20"/>
          <w:szCs w:val="20"/>
        </w:rPr>
      </w:pP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2023年7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月1日-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2023年9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月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30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日</w:t>
      </w:r>
    </w:p>
    <w:p w:rsidR="00925DB6" w:rsidRDefault="00925DB6">
      <w:pPr>
        <w:jc w:val="center"/>
        <w:rPr>
          <w:rFonts w:ascii="仿宋" w:eastAsia="仿宋" w:hAnsi="仿宋" w:cs="Times New Roman"/>
          <w:color w:val="000000"/>
          <w:kern w:val="0"/>
          <w:sz w:val="20"/>
          <w:szCs w:val="20"/>
        </w:rPr>
      </w:pPr>
    </w:p>
    <w:p w:rsidR="00925DB6" w:rsidRDefault="00D462B5">
      <w:pPr>
        <w:widowControl/>
        <w:jc w:val="center"/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>§1  重要提示</w:t>
      </w:r>
    </w:p>
    <w:p w:rsidR="00925DB6" w:rsidRDefault="00D462B5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br/>
        <w:t xml:space="preserve">   产品管理人保证本报告所载资料不存在虚假记载、误导性陈述或重大遗漏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,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并对其内容的真实性、准确性和完整性承担个别及连带责任。</w:t>
      </w:r>
    </w:p>
    <w:p w:rsidR="00925DB6" w:rsidRDefault="00D462B5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br/>
        <w:t xml:space="preserve">   产品托管人中国工商银行股份有限公司，已复核了本报告中的财务指标、净值表现和投资组合报告等内容，保证复核内容不存在虚假记载、误导性陈述或者重大遗漏。</w:t>
      </w:r>
    </w:p>
    <w:p w:rsidR="00925DB6" w:rsidRDefault="00D462B5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br/>
        <w:t xml:space="preserve">   本报告中财务资料未经审计。</w:t>
      </w:r>
    </w:p>
    <w:p w:rsidR="00925DB6" w:rsidRDefault="00925DB6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925DB6" w:rsidRDefault="00D462B5">
      <w:pPr>
        <w:widowControl/>
        <w:jc w:val="left"/>
        <w:rPr>
          <w:rFonts w:ascii="仿宋" w:eastAsia="仿宋" w:hAnsi="仿宋" w:cs="Times New Roman"/>
          <w:color w:val="000000"/>
          <w:kern w:val="0"/>
          <w:sz w:val="24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 xml:space="preserve">   本报告期自起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2023年7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月1日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至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2023年9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月3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0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日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止。</w:t>
      </w:r>
    </w:p>
    <w:p w:rsidR="00925DB6" w:rsidRDefault="00925DB6">
      <w:pPr>
        <w:widowControl/>
        <w:jc w:val="left"/>
        <w:rPr>
          <w:rFonts w:ascii="仿宋" w:eastAsia="仿宋" w:hAnsi="仿宋" w:cs="Times New Roman"/>
          <w:color w:val="000000"/>
          <w:kern w:val="0"/>
          <w:sz w:val="24"/>
          <w:szCs w:val="20"/>
        </w:rPr>
      </w:pPr>
    </w:p>
    <w:p w:rsidR="00925DB6" w:rsidRDefault="00D462B5">
      <w:pPr>
        <w:widowControl/>
        <w:jc w:val="center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>§2  产品概况</w:t>
      </w:r>
    </w:p>
    <w:p w:rsidR="00925DB6" w:rsidRDefault="00925DB6">
      <w:pPr>
        <w:widowControl/>
        <w:jc w:val="center"/>
        <w:rPr>
          <w:rFonts w:ascii="仿宋" w:eastAsia="仿宋" w:hAnsi="仿宋"/>
          <w:b/>
          <w:color w:val="000000"/>
          <w:sz w:val="24"/>
          <w:lang w:eastAsia="en-US"/>
        </w:rPr>
      </w:pPr>
    </w:p>
    <w:tbl>
      <w:tblPr>
        <w:tblW w:w="75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5677"/>
      </w:tblGrid>
      <w:tr w:rsidR="00925DB6">
        <w:trPr>
          <w:trHeight w:val="319"/>
          <w:jc w:val="center"/>
        </w:trPr>
        <w:tc>
          <w:tcPr>
            <w:tcW w:w="1867" w:type="dxa"/>
            <w:tcBorders>
              <w:top w:val="double" w:sz="2" w:space="0" w:color="000000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产品名称</w:t>
            </w:r>
          </w:p>
        </w:tc>
        <w:tc>
          <w:tcPr>
            <w:tcW w:w="5677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川银系列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“美日利”</w:t>
            </w:r>
            <w:r>
              <w:rPr>
                <w:rFonts w:ascii="仿宋" w:eastAsia="仿宋" w:hAnsi="仿宋"/>
                <w:color w:val="000000"/>
                <w:sz w:val="24"/>
              </w:rPr>
              <w:t>人民币理财产品</w:t>
            </w:r>
          </w:p>
        </w:tc>
      </w:tr>
      <w:tr w:rsidR="00925DB6">
        <w:trPr>
          <w:trHeight w:val="327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产品登记编码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  <w:rPr>
                <w:rFonts w:eastAsia="宋体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C1079020000071</w:t>
            </w:r>
          </w:p>
        </w:tc>
      </w:tr>
      <w:tr w:rsidR="00925DB6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产品类型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  <w:rPr>
                <w:rFonts w:eastAsia="仿宋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非保本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净值型理财产品</w:t>
            </w:r>
          </w:p>
        </w:tc>
      </w:tr>
      <w:tr w:rsidR="00925DB6">
        <w:trPr>
          <w:trHeight w:val="52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报告期末产品存续规模（份）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left"/>
              <w:textAlignment w:val="top"/>
              <w:rPr>
                <w:rFonts w:eastAsia="宋体"/>
              </w:rPr>
            </w:pPr>
            <w:r>
              <w:rPr>
                <w:rFonts w:ascii="仿宋" w:eastAsia="仿宋" w:hAnsi="仿宋"/>
                <w:color w:val="000000"/>
                <w:sz w:val="24"/>
                <w:szCs w:val="22"/>
              </w:rPr>
              <w:t>2,103,916,752.33</w:t>
            </w:r>
          </w:p>
        </w:tc>
      </w:tr>
      <w:tr w:rsidR="00925DB6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收益类型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</w:pPr>
            <w:r>
              <w:rPr>
                <w:rFonts w:ascii="仿宋" w:eastAsia="仿宋" w:hAnsi="仿宋"/>
                <w:color w:val="000000"/>
                <w:sz w:val="24"/>
              </w:rPr>
              <w:t>非保本浮动收益型</w:t>
            </w:r>
          </w:p>
        </w:tc>
      </w:tr>
      <w:tr w:rsidR="00925DB6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发行方式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</w:pPr>
            <w:r>
              <w:rPr>
                <w:rFonts w:ascii="仿宋" w:eastAsia="仿宋" w:hAnsi="仿宋"/>
                <w:color w:val="000000"/>
                <w:sz w:val="24"/>
              </w:rPr>
              <w:t>公募</w:t>
            </w:r>
          </w:p>
        </w:tc>
      </w:tr>
      <w:tr w:rsidR="00925DB6">
        <w:trPr>
          <w:trHeight w:val="1407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投资范围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spacing w:before="199" w:after="199"/>
              <w:jc w:val="left"/>
              <w:rPr>
                <w:rFonts w:eastAsia="仿宋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100</w:t>
            </w:r>
            <w:r w:rsidR="00346109">
              <w:rPr>
                <w:rFonts w:ascii="仿宋" w:eastAsia="仿宋" w:hAnsi="仿宋"/>
                <w:color w:val="000000"/>
                <w:sz w:val="24"/>
                <w:szCs w:val="22"/>
              </w:rPr>
              <w:t>%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投资于期限在1年以内（含1年）的银行活期存款及银行定期存款、债券回购、中央银行票据、同业存单，剩余期限在397天以内（含397天）的债券、在银行间市场和证券交易所市场发行的资产支持证券，以及银保监会、中国人民银行认可的其他具有良好流动性的货币市场工具。</w:t>
            </w:r>
          </w:p>
        </w:tc>
      </w:tr>
      <w:tr w:rsidR="00925DB6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产品成立日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</w:pPr>
            <w:r>
              <w:rPr>
                <w:rFonts w:ascii="仿宋" w:eastAsia="仿宋" w:hAnsi="仿宋"/>
                <w:color w:val="000000"/>
                <w:sz w:val="24"/>
              </w:rPr>
              <w:t>2020年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月3日    </w:t>
            </w:r>
          </w:p>
        </w:tc>
      </w:tr>
      <w:tr w:rsidR="00925DB6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产品终止日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</w:pPr>
            <w:r>
              <w:rPr>
                <w:rFonts w:ascii="仿宋" w:eastAsia="仿宋" w:hAnsi="仿宋"/>
                <w:color w:val="00000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119</w:t>
            </w:r>
            <w:r>
              <w:rPr>
                <w:rFonts w:ascii="仿宋" w:eastAsia="仿宋" w:hAnsi="仿宋"/>
                <w:color w:val="000000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</w:tc>
      </w:tr>
      <w:tr w:rsidR="00925DB6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杠杆水平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  <w:rPr>
                <w:rFonts w:eastAsia="仿宋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109.66</w:t>
            </w:r>
            <w:r w:rsidR="00346109">
              <w:rPr>
                <w:rFonts w:ascii="仿宋" w:eastAsia="仿宋" w:hAnsi="仿宋"/>
                <w:color w:val="000000"/>
                <w:sz w:val="24"/>
              </w:rPr>
              <w:t>%</w:t>
            </w:r>
            <w:bookmarkStart w:id="0" w:name="_GoBack"/>
            <w:bookmarkEnd w:id="0"/>
          </w:p>
        </w:tc>
      </w:tr>
      <w:tr w:rsidR="00925DB6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风险等级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  <w:rPr>
                <w:rFonts w:eastAsia="宋体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1级：低</w:t>
            </w:r>
          </w:p>
        </w:tc>
      </w:tr>
      <w:tr w:rsidR="00925DB6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2"/>
              </w:rPr>
              <w:t>产品管理人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/>
                <w:color w:val="000000"/>
                <w:sz w:val="24"/>
                <w:szCs w:val="22"/>
              </w:rPr>
              <w:t>四川银行股份有限公司</w:t>
            </w:r>
          </w:p>
        </w:tc>
      </w:tr>
      <w:tr w:rsidR="00925DB6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产品托管人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jc w:val="left"/>
            </w:pPr>
            <w:r>
              <w:rPr>
                <w:rFonts w:ascii="仿宋" w:eastAsia="仿宋" w:hAnsi="仿宋"/>
                <w:color w:val="000000"/>
                <w:sz w:val="24"/>
              </w:rPr>
              <w:t>中国工商银行股份有限公司</w:t>
            </w:r>
          </w:p>
        </w:tc>
      </w:tr>
    </w:tbl>
    <w:p w:rsidR="00925DB6" w:rsidRDefault="00925DB6">
      <w:pPr>
        <w:rPr>
          <w:rFonts w:ascii="仿宋" w:eastAsia="仿宋" w:hAnsi="仿宋" w:cs="Times New Roman"/>
          <w:color w:val="000000"/>
          <w:kern w:val="0"/>
          <w:sz w:val="20"/>
          <w:szCs w:val="20"/>
        </w:rPr>
      </w:pPr>
    </w:p>
    <w:p w:rsidR="00925DB6" w:rsidRDefault="00925DB6">
      <w:pPr>
        <w:rPr>
          <w:rFonts w:ascii="仿宋" w:eastAsia="仿宋" w:hAnsi="仿宋" w:cs="Times New Roman"/>
          <w:color w:val="000000"/>
          <w:kern w:val="0"/>
          <w:sz w:val="20"/>
          <w:szCs w:val="20"/>
        </w:rPr>
      </w:pPr>
    </w:p>
    <w:p w:rsidR="00925DB6" w:rsidRDefault="00D462B5">
      <w:pPr>
        <w:jc w:val="center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>§3  产品业绩表现</w:t>
      </w:r>
    </w:p>
    <w:p w:rsidR="00925DB6" w:rsidRDefault="00D462B5">
      <w:pPr>
        <w:jc w:val="righ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单位：人民币元</w:t>
      </w:r>
    </w:p>
    <w:p w:rsidR="00925DB6" w:rsidRDefault="00925DB6">
      <w:pPr>
        <w:jc w:val="right"/>
        <w:rPr>
          <w:rFonts w:ascii="仿宋" w:eastAsia="仿宋" w:hAnsi="仿宋"/>
          <w:color w:val="000000"/>
          <w:sz w:val="24"/>
        </w:rPr>
      </w:pPr>
    </w:p>
    <w:tbl>
      <w:tblPr>
        <w:tblpPr w:leftFromText="180" w:rightFromText="180" w:vertAnchor="text" w:horzAnchor="page" w:tblpXSpec="center" w:tblpY="-17"/>
        <w:tblOverlap w:val="never"/>
        <w:tblW w:w="89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5890"/>
      </w:tblGrid>
      <w:tr w:rsidR="00925DB6">
        <w:trPr>
          <w:trHeight w:val="282"/>
          <w:jc w:val="center"/>
        </w:trPr>
        <w:tc>
          <w:tcPr>
            <w:tcW w:w="3080" w:type="dxa"/>
            <w:tcBorders>
              <w:top w:val="double" w:sz="2" w:space="0" w:color="000000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0"/>
                <w:lang w:eastAsia="en-US"/>
              </w:rPr>
              <w:t>主要财务指标</w:t>
            </w:r>
            <w:proofErr w:type="spellEnd"/>
          </w:p>
        </w:tc>
        <w:tc>
          <w:tcPr>
            <w:tcW w:w="5890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报告期（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2023年7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月1日至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2023年9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30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日）</w:t>
            </w:r>
          </w:p>
        </w:tc>
      </w:tr>
      <w:tr w:rsidR="00925DB6">
        <w:trPr>
          <w:trHeight w:val="282"/>
          <w:jc w:val="center"/>
        </w:trPr>
        <w:tc>
          <w:tcPr>
            <w:tcW w:w="3080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0"/>
                <w:lang w:eastAsia="en-US"/>
              </w:rPr>
              <w:t>1.期末产品资产净值</w:t>
            </w:r>
          </w:p>
        </w:tc>
        <w:tc>
          <w:tcPr>
            <w:tcW w:w="5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2"/>
              </w:rPr>
              <w:t>2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2"/>
              </w:rPr>
              <w:t>,</w:t>
            </w:r>
            <w:r>
              <w:rPr>
                <w:rFonts w:ascii="仿宋" w:eastAsia="仿宋" w:hAnsi="仿宋" w:cs="Times New Roman"/>
                <w:kern w:val="0"/>
                <w:sz w:val="24"/>
                <w:szCs w:val="22"/>
              </w:rPr>
              <w:t>103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2"/>
              </w:rPr>
              <w:t>,</w:t>
            </w:r>
            <w:r>
              <w:rPr>
                <w:rFonts w:ascii="仿宋" w:eastAsia="仿宋" w:hAnsi="仿宋" w:cs="Times New Roman"/>
                <w:kern w:val="0"/>
                <w:sz w:val="24"/>
                <w:szCs w:val="22"/>
              </w:rPr>
              <w:t>916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2"/>
              </w:rPr>
              <w:t>,</w:t>
            </w:r>
            <w:r>
              <w:rPr>
                <w:rFonts w:ascii="仿宋" w:eastAsia="仿宋" w:hAnsi="仿宋" w:cs="Times New Roman"/>
                <w:kern w:val="0"/>
                <w:sz w:val="24"/>
                <w:szCs w:val="22"/>
              </w:rPr>
              <w:t>752.33</w:t>
            </w:r>
          </w:p>
        </w:tc>
      </w:tr>
      <w:tr w:rsidR="00925DB6">
        <w:trPr>
          <w:trHeight w:val="282"/>
          <w:jc w:val="center"/>
        </w:trPr>
        <w:tc>
          <w:tcPr>
            <w:tcW w:w="3080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0"/>
                <w:lang w:eastAsia="en-US"/>
              </w:rPr>
              <w:t>2.期末产品份额</w:t>
            </w:r>
          </w:p>
        </w:tc>
        <w:tc>
          <w:tcPr>
            <w:tcW w:w="5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2"/>
              </w:rPr>
              <w:t>2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2"/>
              </w:rPr>
              <w:t>,</w:t>
            </w:r>
            <w:r>
              <w:rPr>
                <w:rFonts w:ascii="仿宋" w:eastAsia="仿宋" w:hAnsi="仿宋" w:cs="Times New Roman"/>
                <w:kern w:val="0"/>
                <w:sz w:val="24"/>
                <w:szCs w:val="22"/>
              </w:rPr>
              <w:t>103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2"/>
              </w:rPr>
              <w:t>,</w:t>
            </w:r>
            <w:r>
              <w:rPr>
                <w:rFonts w:ascii="仿宋" w:eastAsia="仿宋" w:hAnsi="仿宋" w:cs="Times New Roman"/>
                <w:kern w:val="0"/>
                <w:sz w:val="24"/>
                <w:szCs w:val="22"/>
              </w:rPr>
              <w:t>916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2"/>
              </w:rPr>
              <w:t>,</w:t>
            </w:r>
            <w:r>
              <w:rPr>
                <w:rFonts w:ascii="仿宋" w:eastAsia="仿宋" w:hAnsi="仿宋" w:cs="Times New Roman"/>
                <w:kern w:val="0"/>
                <w:sz w:val="24"/>
                <w:szCs w:val="22"/>
              </w:rPr>
              <w:t>752.33</w:t>
            </w:r>
          </w:p>
        </w:tc>
      </w:tr>
      <w:tr w:rsidR="00925DB6">
        <w:trPr>
          <w:trHeight w:val="305"/>
          <w:jc w:val="center"/>
        </w:trPr>
        <w:tc>
          <w:tcPr>
            <w:tcW w:w="3080" w:type="dxa"/>
            <w:tcBorders>
              <w:top w:val="single" w:sz="6" w:space="0" w:color="D3D3D3"/>
              <w:left w:val="double" w:sz="2" w:space="0" w:color="000000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2"/>
              </w:rPr>
              <w:t>3.期末产品份额净值</w:t>
            </w:r>
          </w:p>
        </w:tc>
        <w:tc>
          <w:tcPr>
            <w:tcW w:w="5890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1.0000</w:t>
            </w:r>
          </w:p>
        </w:tc>
      </w:tr>
    </w:tbl>
    <w:p w:rsidR="00925DB6" w:rsidRDefault="00925DB6">
      <w:pPr>
        <w:jc w:val="left"/>
        <w:rPr>
          <w:rFonts w:ascii="仿宋" w:eastAsia="仿宋" w:hAnsi="仿宋"/>
          <w:color w:val="000000"/>
          <w:sz w:val="24"/>
          <w:lang w:eastAsia="en-US"/>
        </w:rPr>
      </w:pPr>
    </w:p>
    <w:p w:rsidR="00925DB6" w:rsidRDefault="00D462B5">
      <w:pPr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报告期内保持对市场的密切关注，运用多种方式为客户创造收益，</w:t>
      </w:r>
      <w:r>
        <w:rPr>
          <w:rFonts w:ascii="仿宋" w:eastAsia="仿宋" w:hAnsi="仿宋" w:hint="eastAsia"/>
          <w:color w:val="000000"/>
          <w:sz w:val="24"/>
        </w:rPr>
        <w:t>季度</w:t>
      </w:r>
      <w:proofErr w:type="gramStart"/>
      <w:r>
        <w:rPr>
          <w:rFonts w:ascii="仿宋" w:eastAsia="仿宋" w:hAnsi="仿宋" w:hint="eastAsia"/>
          <w:color w:val="000000"/>
          <w:sz w:val="24"/>
        </w:rPr>
        <w:t>末产品</w:t>
      </w:r>
      <w:proofErr w:type="gramEnd"/>
      <w:r>
        <w:rPr>
          <w:rFonts w:ascii="仿宋" w:eastAsia="仿宋" w:hAnsi="仿宋" w:hint="eastAsia"/>
          <w:color w:val="000000"/>
          <w:sz w:val="24"/>
        </w:rPr>
        <w:t>基金单位当日收益为0.7136，七日年化为2.5043</w:t>
      </w:r>
      <w:r>
        <w:rPr>
          <w:rFonts w:ascii="仿宋" w:eastAsia="仿宋" w:hAnsi="仿宋"/>
          <w:color w:val="000000"/>
          <w:sz w:val="24"/>
        </w:rPr>
        <w:t>。</w:t>
      </w:r>
    </w:p>
    <w:p w:rsidR="00925DB6" w:rsidRDefault="00925DB6">
      <w:pPr>
        <w:jc w:val="left"/>
        <w:rPr>
          <w:rFonts w:ascii="仿宋" w:eastAsia="仿宋" w:hAnsi="仿宋"/>
          <w:color w:val="000000"/>
          <w:sz w:val="24"/>
        </w:rPr>
      </w:pPr>
    </w:p>
    <w:p w:rsidR="00925DB6" w:rsidRDefault="00D462B5">
      <w:pPr>
        <w:jc w:val="center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>§4  产品投资策略和运作分析</w:t>
      </w:r>
    </w:p>
    <w:p w:rsidR="00925DB6" w:rsidRDefault="00925DB6">
      <w:pPr>
        <w:jc w:val="center"/>
        <w:rPr>
          <w:rFonts w:ascii="仿宋" w:eastAsia="仿宋" w:hAnsi="仿宋"/>
          <w:b/>
          <w:color w:val="000000"/>
          <w:sz w:val="24"/>
        </w:rPr>
      </w:pPr>
    </w:p>
    <w:p w:rsidR="00925DB6" w:rsidRDefault="00D462B5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>4.1 报告期内产品投资策略和运作分析</w:t>
      </w:r>
    </w:p>
    <w:p w:rsidR="00925DB6" w:rsidRDefault="00925DB6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925DB6" w:rsidRDefault="00D462B5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 xml:space="preserve">     产品设立严格符合资管新规要求，投资策略为持有到期。产品自2020年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9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月成立以来，累计管理规模</w:t>
      </w:r>
      <w:r>
        <w:rPr>
          <w:rFonts w:ascii="仿宋" w:eastAsia="仿宋" w:hAnsi="仿宋" w:cs="Times New Roman"/>
          <w:kern w:val="0"/>
          <w:sz w:val="24"/>
          <w:szCs w:val="22"/>
        </w:rPr>
        <w:t>2</w:t>
      </w:r>
      <w:r>
        <w:rPr>
          <w:rFonts w:ascii="仿宋" w:eastAsia="仿宋" w:hAnsi="仿宋" w:cs="Times New Roman" w:hint="eastAsia"/>
          <w:kern w:val="0"/>
          <w:sz w:val="24"/>
          <w:szCs w:val="22"/>
        </w:rPr>
        <w:t>,</w:t>
      </w:r>
      <w:r>
        <w:rPr>
          <w:rFonts w:ascii="仿宋" w:eastAsia="仿宋" w:hAnsi="仿宋" w:cs="Times New Roman"/>
          <w:kern w:val="0"/>
          <w:sz w:val="24"/>
          <w:szCs w:val="22"/>
        </w:rPr>
        <w:t>103</w:t>
      </w:r>
      <w:r>
        <w:rPr>
          <w:rFonts w:ascii="仿宋" w:eastAsia="仿宋" w:hAnsi="仿宋" w:cs="Times New Roman" w:hint="eastAsia"/>
          <w:kern w:val="0"/>
          <w:sz w:val="24"/>
          <w:szCs w:val="22"/>
        </w:rPr>
        <w:t>,</w:t>
      </w:r>
      <w:r>
        <w:rPr>
          <w:rFonts w:ascii="仿宋" w:eastAsia="仿宋" w:hAnsi="仿宋" w:cs="Times New Roman"/>
          <w:kern w:val="0"/>
          <w:sz w:val="24"/>
          <w:szCs w:val="22"/>
        </w:rPr>
        <w:t>916</w:t>
      </w:r>
      <w:r>
        <w:rPr>
          <w:rFonts w:ascii="仿宋" w:eastAsia="仿宋" w:hAnsi="仿宋" w:cs="Times New Roman" w:hint="eastAsia"/>
          <w:kern w:val="0"/>
          <w:sz w:val="24"/>
          <w:szCs w:val="22"/>
        </w:rPr>
        <w:t>,</w:t>
      </w:r>
      <w:r>
        <w:rPr>
          <w:rFonts w:ascii="仿宋" w:eastAsia="仿宋" w:hAnsi="仿宋" w:cs="Times New Roman"/>
          <w:kern w:val="0"/>
          <w:sz w:val="24"/>
          <w:szCs w:val="22"/>
        </w:rPr>
        <w:t>752.33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元，截止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2023年9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月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30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日，净值</w:t>
      </w:r>
      <w:r>
        <w:rPr>
          <w:rFonts w:ascii="仿宋" w:eastAsia="仿宋" w:hAnsi="仿宋" w:cs="Times New Roman"/>
          <w:kern w:val="0"/>
          <w:sz w:val="24"/>
          <w:szCs w:val="22"/>
        </w:rPr>
        <w:t>2</w:t>
      </w:r>
      <w:r>
        <w:rPr>
          <w:rFonts w:ascii="仿宋" w:eastAsia="仿宋" w:hAnsi="仿宋" w:cs="Times New Roman" w:hint="eastAsia"/>
          <w:kern w:val="0"/>
          <w:sz w:val="24"/>
          <w:szCs w:val="22"/>
        </w:rPr>
        <w:t>,</w:t>
      </w:r>
      <w:r>
        <w:rPr>
          <w:rFonts w:ascii="仿宋" w:eastAsia="仿宋" w:hAnsi="仿宋" w:cs="Times New Roman"/>
          <w:kern w:val="0"/>
          <w:sz w:val="24"/>
          <w:szCs w:val="22"/>
        </w:rPr>
        <w:t>103</w:t>
      </w:r>
      <w:r>
        <w:rPr>
          <w:rFonts w:ascii="仿宋" w:eastAsia="仿宋" w:hAnsi="仿宋" w:cs="Times New Roman" w:hint="eastAsia"/>
          <w:kern w:val="0"/>
          <w:sz w:val="24"/>
          <w:szCs w:val="22"/>
        </w:rPr>
        <w:t>,</w:t>
      </w:r>
      <w:r>
        <w:rPr>
          <w:rFonts w:ascii="仿宋" w:eastAsia="仿宋" w:hAnsi="仿宋" w:cs="Times New Roman"/>
          <w:kern w:val="0"/>
          <w:sz w:val="24"/>
          <w:szCs w:val="22"/>
        </w:rPr>
        <w:t>916</w:t>
      </w:r>
      <w:r>
        <w:rPr>
          <w:rFonts w:ascii="仿宋" w:eastAsia="仿宋" w:hAnsi="仿宋" w:cs="Times New Roman" w:hint="eastAsia"/>
          <w:kern w:val="0"/>
          <w:sz w:val="24"/>
          <w:szCs w:val="22"/>
        </w:rPr>
        <w:t>,</w:t>
      </w:r>
      <w:r>
        <w:rPr>
          <w:rFonts w:ascii="仿宋" w:eastAsia="仿宋" w:hAnsi="仿宋" w:cs="Times New Roman"/>
          <w:kern w:val="0"/>
          <w:sz w:val="24"/>
          <w:szCs w:val="22"/>
        </w:rPr>
        <w:t>752.33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。</w:t>
      </w:r>
    </w:p>
    <w:p w:rsidR="00925DB6" w:rsidRDefault="00925DB6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925DB6" w:rsidRDefault="00D462B5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>4.2报告期内产品主要投资风险</w:t>
      </w:r>
    </w:p>
    <w:p w:rsidR="00925DB6" w:rsidRDefault="00925DB6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925DB6" w:rsidRDefault="00D462B5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 xml:space="preserve">     产品的投资品种价格受经济因素、政治因素、投资心理和交易制度等各种因素影响而波动，导致收益水平变化产生风险。主要包括：政策风险、经济周期风险、利率风险、信用风险、再投资风险等。</w:t>
      </w:r>
    </w:p>
    <w:p w:rsidR="00925DB6" w:rsidRDefault="00925DB6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925DB6" w:rsidRDefault="00D462B5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>4.3产品流动性风险分析</w:t>
      </w:r>
    </w:p>
    <w:p w:rsidR="00925DB6" w:rsidRDefault="00D462B5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 xml:space="preserve">    </w:t>
      </w:r>
    </w:p>
    <w:p w:rsidR="00925DB6" w:rsidRDefault="00D462B5">
      <w:pPr>
        <w:ind w:firstLine="480"/>
        <w:jc w:val="left"/>
        <w:rPr>
          <w:rFonts w:ascii="仿宋" w:eastAsia="仿宋" w:hAnsi="仿宋" w:cs="Times New Roman"/>
          <w:color w:val="000000"/>
          <w:kern w:val="0"/>
          <w:sz w:val="24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本产品流动性风险整体可控，所配置的资产剩余期限短于或等于产品期限，截止报告日未采用杠杆融资策略。</w:t>
      </w:r>
    </w:p>
    <w:p w:rsidR="00925DB6" w:rsidRDefault="00925DB6">
      <w:pPr>
        <w:ind w:firstLine="480"/>
        <w:jc w:val="left"/>
        <w:rPr>
          <w:rFonts w:ascii="仿宋" w:eastAsia="仿宋" w:hAnsi="仿宋" w:cs="Times New Roman"/>
          <w:color w:val="000000"/>
          <w:kern w:val="0"/>
          <w:sz w:val="24"/>
          <w:szCs w:val="20"/>
        </w:rPr>
      </w:pPr>
    </w:p>
    <w:p w:rsidR="00925DB6" w:rsidRDefault="00D462B5">
      <w:pPr>
        <w:jc w:val="center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>§5 投资组合报告</w:t>
      </w:r>
    </w:p>
    <w:p w:rsidR="00925DB6" w:rsidRDefault="00925DB6">
      <w:pPr>
        <w:jc w:val="center"/>
        <w:rPr>
          <w:rFonts w:ascii="仿宋" w:eastAsia="仿宋" w:hAnsi="仿宋"/>
          <w:b/>
          <w:color w:val="000000"/>
          <w:sz w:val="24"/>
        </w:rPr>
      </w:pPr>
    </w:p>
    <w:p w:rsidR="00925DB6" w:rsidRDefault="00D462B5">
      <w:pPr>
        <w:jc w:val="left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>5.1 产品投资资产种类</w:t>
      </w:r>
    </w:p>
    <w:tbl>
      <w:tblPr>
        <w:tblW w:w="93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320"/>
        <w:gridCol w:w="2919"/>
        <w:gridCol w:w="2385"/>
      </w:tblGrid>
      <w:tr w:rsidR="00925DB6">
        <w:trPr>
          <w:trHeight w:val="282"/>
        </w:trPr>
        <w:tc>
          <w:tcPr>
            <w:tcW w:w="689" w:type="dxa"/>
            <w:tcBorders>
              <w:top w:val="double" w:sz="2" w:space="0" w:color="000000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序号</w:t>
            </w:r>
            <w:proofErr w:type="spellEnd"/>
          </w:p>
        </w:tc>
        <w:tc>
          <w:tcPr>
            <w:tcW w:w="3320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项目</w:t>
            </w:r>
            <w:proofErr w:type="spellEnd"/>
          </w:p>
        </w:tc>
        <w:tc>
          <w:tcPr>
            <w:tcW w:w="2919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面值</w:t>
            </w:r>
            <w:proofErr w:type="spellEnd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(元)</w:t>
            </w:r>
          </w:p>
        </w:tc>
        <w:tc>
          <w:tcPr>
            <w:tcW w:w="2385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占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产品总</w:t>
            </w: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资产比例</w:t>
            </w:r>
            <w:proofErr w:type="spellEnd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(</w:t>
            </w:r>
            <w:r w:rsidR="009128A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%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)</w:t>
            </w:r>
          </w:p>
        </w:tc>
      </w:tr>
      <w:tr w:rsidR="00925DB6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numPr>
                <w:ilvl w:val="0"/>
                <w:numId w:val="1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固定收益投资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</w:rPr>
              <w:t>1,601,413,685.52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</w:rPr>
              <w:t>69.41</w:t>
            </w:r>
          </w:p>
        </w:tc>
      </w:tr>
      <w:tr w:rsidR="00925DB6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numPr>
                <w:ilvl w:val="0"/>
                <w:numId w:val="2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其中：债券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</w:rPr>
              <w:t>1,601,413,685.52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</w:rPr>
              <w:t>69.41</w:t>
            </w:r>
          </w:p>
        </w:tc>
      </w:tr>
      <w:tr w:rsidR="00925DB6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numPr>
                <w:ilvl w:val="0"/>
                <w:numId w:val="3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资产支持证券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925DB6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925DB6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925DB6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numPr>
                <w:ilvl w:val="0"/>
                <w:numId w:val="4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权益投资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925DB6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925DB6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925DB6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numPr>
                <w:ilvl w:val="0"/>
                <w:numId w:val="5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其中：股票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925DB6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925DB6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925DB6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numPr>
                <w:ilvl w:val="0"/>
                <w:numId w:val="6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基金投资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925DB6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925DB6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925DB6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7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numPr>
                <w:ilvl w:val="0"/>
                <w:numId w:val="7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信托投资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925DB6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925DB6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925DB6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8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numPr>
                <w:ilvl w:val="0"/>
                <w:numId w:val="8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金融衍生品投资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925DB6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925DB6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925DB6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9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numPr>
                <w:ilvl w:val="0"/>
                <w:numId w:val="9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买入返售金融资产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580,266,332.78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</w:rPr>
              <w:t>25.15</w:t>
            </w:r>
          </w:p>
        </w:tc>
      </w:tr>
      <w:tr w:rsidR="00925DB6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10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numPr>
                <w:ilvl w:val="0"/>
                <w:numId w:val="10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 xml:space="preserve">  其中：买断式回购的买入返售金融资产</w:t>
            </w:r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925DB6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925DB6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925DB6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11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numPr>
                <w:ilvl w:val="0"/>
                <w:numId w:val="11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银行存款和结算备付金合计</w:t>
            </w:r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125,492,757.26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</w:rPr>
              <w:t>5.44</w:t>
            </w:r>
          </w:p>
        </w:tc>
      </w:tr>
      <w:tr w:rsidR="00925DB6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12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numPr>
                <w:ilvl w:val="0"/>
                <w:numId w:val="12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其他资产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925DB6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925DB6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925DB6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925D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总计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2,307,172,775.56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100.00</w:t>
            </w:r>
          </w:p>
        </w:tc>
      </w:tr>
    </w:tbl>
    <w:p w:rsidR="00925DB6" w:rsidRDefault="00925DB6">
      <w:pPr>
        <w:jc w:val="left"/>
        <w:rPr>
          <w:rFonts w:ascii="仿宋" w:eastAsia="仿宋" w:hAnsi="仿宋"/>
          <w:b/>
          <w:color w:val="000000"/>
          <w:sz w:val="24"/>
        </w:rPr>
      </w:pPr>
    </w:p>
    <w:p w:rsidR="00925DB6" w:rsidRDefault="00925DB6">
      <w:pPr>
        <w:jc w:val="left"/>
        <w:rPr>
          <w:rFonts w:ascii="仿宋" w:eastAsia="仿宋" w:hAnsi="仿宋"/>
          <w:b/>
          <w:color w:val="000000"/>
          <w:sz w:val="24"/>
        </w:rPr>
      </w:pPr>
    </w:p>
    <w:p w:rsidR="00925DB6" w:rsidRDefault="00D462B5">
      <w:pPr>
        <w:jc w:val="left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>5.2 前十大资产持仓情况</w:t>
      </w:r>
    </w:p>
    <w:tbl>
      <w:tblPr>
        <w:tblW w:w="93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2129"/>
        <w:gridCol w:w="1991"/>
        <w:gridCol w:w="2203"/>
        <w:gridCol w:w="2366"/>
      </w:tblGrid>
      <w:tr w:rsidR="00925DB6">
        <w:trPr>
          <w:trHeight w:val="282"/>
        </w:trPr>
        <w:tc>
          <w:tcPr>
            <w:tcW w:w="638" w:type="dxa"/>
            <w:tcBorders>
              <w:top w:val="double" w:sz="2" w:space="0" w:color="000000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序号</w:t>
            </w:r>
            <w:proofErr w:type="spellEnd"/>
          </w:p>
        </w:tc>
        <w:tc>
          <w:tcPr>
            <w:tcW w:w="2129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资产名称</w:t>
            </w:r>
            <w:proofErr w:type="spellEnd"/>
          </w:p>
        </w:tc>
        <w:tc>
          <w:tcPr>
            <w:tcW w:w="1991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资产面值</w:t>
            </w:r>
            <w:proofErr w:type="spellEnd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(元)</w:t>
            </w:r>
          </w:p>
        </w:tc>
        <w:tc>
          <w:tcPr>
            <w:tcW w:w="2203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资产公允价值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（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元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）</w:t>
            </w:r>
          </w:p>
        </w:tc>
        <w:tc>
          <w:tcPr>
            <w:tcW w:w="2366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占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产品净</w:t>
            </w: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资产比例</w:t>
            </w:r>
            <w:proofErr w:type="spellEnd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(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%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)</w:t>
            </w:r>
          </w:p>
        </w:tc>
      </w:tr>
      <w:tr w:rsidR="00925DB6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23江西银行CD160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 xml:space="preserve">100,000,000.00 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99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,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147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,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400.00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4.30</w:t>
            </w:r>
          </w:p>
        </w:tc>
      </w:tr>
      <w:tr w:rsidR="00925DB6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23晋商银行CD141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 xml:space="preserve">100,000,000.00 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 xml:space="preserve">98,832,200.00 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4.28</w:t>
            </w:r>
          </w:p>
        </w:tc>
      </w:tr>
      <w:tr w:rsidR="00925DB6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23贵州银行CD045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 xml:space="preserve">70,000,000.00 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 xml:space="preserve">68,789,350.00 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2.98</w:t>
            </w:r>
          </w:p>
        </w:tc>
      </w:tr>
      <w:tr w:rsidR="00925DB6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23东莞农村商业银行CD122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 xml:space="preserve">50,000,000.00 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 xml:space="preserve">49,950,350.00 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2.17</w:t>
            </w:r>
          </w:p>
        </w:tc>
      </w:tr>
      <w:tr w:rsidR="00925DB6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23浦发银行CD052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 xml:space="preserve">50,000,000.00 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 xml:space="preserve">49,785,400.00 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2.16</w:t>
            </w:r>
          </w:p>
        </w:tc>
      </w:tr>
      <w:tr w:rsidR="00925DB6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23青岛农商行CD099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 xml:space="preserve">50,000,000.00 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 xml:space="preserve">49,305,800.00 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2.14</w:t>
            </w:r>
          </w:p>
        </w:tc>
      </w:tr>
      <w:tr w:rsidR="00925DB6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23贵州银行CD026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 xml:space="preserve">50,000,000.00 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 xml:space="preserve">49,264,000.00 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2.14</w:t>
            </w:r>
          </w:p>
        </w:tc>
      </w:tr>
      <w:tr w:rsidR="00925DB6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23广西北部湾银行CD004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 xml:space="preserve">40,000,000.00 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 xml:space="preserve">39,969,040.00 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1.73</w:t>
            </w:r>
          </w:p>
        </w:tc>
      </w:tr>
      <w:tr w:rsidR="00925DB6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23广西北部湾银行CD161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 xml:space="preserve">40,000,000.00 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 xml:space="preserve">39,893,560.00 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1.73</w:t>
            </w:r>
          </w:p>
        </w:tc>
      </w:tr>
      <w:tr w:rsidR="00925DB6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23贵阳银行CD088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 xml:space="preserve">40,000,000.00 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 xml:space="preserve">39,847,120.00 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5DB6" w:rsidRDefault="00D462B5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1.73</w:t>
            </w:r>
          </w:p>
        </w:tc>
      </w:tr>
    </w:tbl>
    <w:p w:rsidR="00925DB6" w:rsidRDefault="00925DB6">
      <w:pPr>
        <w:jc w:val="left"/>
        <w:rPr>
          <w:rFonts w:ascii="仿宋" w:eastAsia="仿宋" w:hAnsi="仿宋"/>
          <w:b/>
          <w:color w:val="000000"/>
          <w:sz w:val="24"/>
        </w:rPr>
      </w:pPr>
    </w:p>
    <w:p w:rsidR="00925DB6" w:rsidRDefault="00925DB6">
      <w:pPr>
        <w:jc w:val="left"/>
        <w:rPr>
          <w:rFonts w:ascii="仿宋" w:eastAsia="仿宋" w:hAnsi="仿宋"/>
          <w:b/>
          <w:color w:val="000000"/>
          <w:sz w:val="24"/>
        </w:rPr>
      </w:pPr>
    </w:p>
    <w:p w:rsidR="00925DB6" w:rsidRDefault="00D462B5">
      <w:pPr>
        <w:widowControl/>
        <w:jc w:val="center"/>
        <w:rPr>
          <w:rFonts w:ascii="仿宋" w:eastAsia="仿宋" w:hAnsi="仿宋" w:cs="Times New Roman"/>
          <w:b/>
          <w:color w:val="000000"/>
          <w:kern w:val="0"/>
          <w:sz w:val="24"/>
          <w:szCs w:val="20"/>
          <w:lang w:eastAsia="en-US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  <w:lang w:eastAsia="en-US"/>
        </w:rPr>
        <w:t>§</w:t>
      </w:r>
      <w:r>
        <w:rPr>
          <w:rFonts w:ascii="仿宋" w:eastAsia="仿宋" w:hAnsi="仿宋" w:cs="Times New Roman" w:hint="eastAsia"/>
          <w:b/>
          <w:color w:val="000000"/>
          <w:kern w:val="0"/>
          <w:sz w:val="24"/>
          <w:szCs w:val="20"/>
        </w:rPr>
        <w:t>6</w:t>
      </w: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  <w:lang w:eastAsia="en-US"/>
        </w:rPr>
        <w:t xml:space="preserve"> </w:t>
      </w:r>
      <w:r>
        <w:rPr>
          <w:rFonts w:ascii="仿宋" w:eastAsia="仿宋" w:hAnsi="仿宋" w:cs="Times New Roman" w:hint="eastAsia"/>
          <w:b/>
          <w:color w:val="000000"/>
          <w:kern w:val="0"/>
          <w:sz w:val="24"/>
          <w:szCs w:val="20"/>
        </w:rPr>
        <w:t>托管人</w:t>
      </w:r>
      <w:proofErr w:type="spellStart"/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  <w:lang w:eastAsia="en-US"/>
        </w:rPr>
        <w:t>报告</w:t>
      </w:r>
      <w:proofErr w:type="spellEnd"/>
    </w:p>
    <w:p w:rsidR="00925DB6" w:rsidRDefault="00925DB6">
      <w:pPr>
        <w:jc w:val="left"/>
        <w:rPr>
          <w:rFonts w:ascii="仿宋" w:eastAsia="仿宋" w:hAnsi="仿宋"/>
          <w:b/>
          <w:color w:val="000000"/>
          <w:sz w:val="24"/>
          <w:lang w:eastAsia="en-US"/>
        </w:rPr>
      </w:pPr>
    </w:p>
    <w:p w:rsidR="00925DB6" w:rsidRDefault="00D462B5">
      <w:pPr>
        <w:widowControl/>
        <w:spacing w:line="360" w:lineRule="auto"/>
        <w:ind w:firstLineChars="100" w:firstLine="240"/>
        <w:jc w:val="left"/>
        <w:rPr>
          <w:rFonts w:ascii="仿宋" w:eastAsia="仿宋" w:hAnsi="仿宋"/>
          <w:color w:val="000000"/>
          <w:sz w:val="24"/>
          <w:szCs w:val="22"/>
        </w:rPr>
      </w:pPr>
      <w:r>
        <w:rPr>
          <w:rFonts w:ascii="仿宋" w:eastAsia="仿宋" w:hAnsi="仿宋" w:hint="eastAsia"/>
          <w:color w:val="000000"/>
          <w:sz w:val="24"/>
          <w:szCs w:val="22"/>
        </w:rPr>
        <w:t>工商银行具备完善的公司治理结构、内部稽核监控制度和风险控制制度，我行在履行托管职责中，严格遵守有关法律法规、托管协议的规定，尽职尽责地履行托管义务并安全保管托管资产。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925DB6" w:rsidRDefault="00925DB6">
      <w:pPr>
        <w:jc w:val="left"/>
        <w:rPr>
          <w:rFonts w:ascii="仿宋" w:eastAsia="仿宋" w:hAnsi="仿宋"/>
          <w:b/>
          <w:color w:val="000000"/>
          <w:sz w:val="24"/>
        </w:rPr>
      </w:pPr>
    </w:p>
    <w:p w:rsidR="00925DB6" w:rsidRDefault="00925DB6">
      <w:pPr>
        <w:jc w:val="left"/>
        <w:rPr>
          <w:rFonts w:ascii="仿宋" w:eastAsia="仿宋" w:hAnsi="仿宋"/>
          <w:color w:val="000000"/>
          <w:sz w:val="24"/>
        </w:rPr>
      </w:pPr>
    </w:p>
    <w:sectPr w:rsidR="00925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11FE1"/>
    <w:rsid w:val="00346109"/>
    <w:rsid w:val="009128AE"/>
    <w:rsid w:val="00925DB6"/>
    <w:rsid w:val="00D462B5"/>
    <w:rsid w:val="023D3E26"/>
    <w:rsid w:val="04836438"/>
    <w:rsid w:val="07F36610"/>
    <w:rsid w:val="0BE9219C"/>
    <w:rsid w:val="0D2D75E8"/>
    <w:rsid w:val="12767544"/>
    <w:rsid w:val="20B912D1"/>
    <w:rsid w:val="239E502E"/>
    <w:rsid w:val="24E8576B"/>
    <w:rsid w:val="27F5446E"/>
    <w:rsid w:val="28DB6496"/>
    <w:rsid w:val="294A584A"/>
    <w:rsid w:val="39433067"/>
    <w:rsid w:val="39AA15AF"/>
    <w:rsid w:val="3C1C2FB8"/>
    <w:rsid w:val="46E13057"/>
    <w:rsid w:val="46E3326F"/>
    <w:rsid w:val="4BEE4F7F"/>
    <w:rsid w:val="4CD162A0"/>
    <w:rsid w:val="530B5FD0"/>
    <w:rsid w:val="55BE6267"/>
    <w:rsid w:val="5F431E6C"/>
    <w:rsid w:val="68BF289F"/>
    <w:rsid w:val="6D0C3B99"/>
    <w:rsid w:val="6E211FE1"/>
    <w:rsid w:val="71F0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E8B914-5354-4F9C-A33E-9602EBE7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季度报告</dc:title>
  <dc:creator>gdgz-wenjx</dc:creator>
  <cp:lastModifiedBy>苏晓雅</cp:lastModifiedBy>
  <cp:revision>4</cp:revision>
  <dcterms:created xsi:type="dcterms:W3CDTF">2022-10-20T07:48:00Z</dcterms:created>
  <dcterms:modified xsi:type="dcterms:W3CDTF">2023-10-23T09:20:00Z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