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9B" w:rsidRDefault="00604CFE">
      <w:pPr>
        <w:widowControl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604CFE">
        <w:rPr>
          <w:rFonts w:ascii="仿宋" w:eastAsia="仿宋" w:hAnsi="仿宋" w:cs="Times New Roman" w:hint="eastAsia"/>
          <w:b/>
          <w:color w:val="000000"/>
          <w:kern w:val="0"/>
          <w:sz w:val="36"/>
          <w:szCs w:val="20"/>
        </w:rPr>
        <w:t>川银系列“美日利”人民币理财产品2023</w:t>
      </w:r>
      <w:r>
        <w:rPr>
          <w:rFonts w:ascii="仿宋" w:eastAsia="仿宋" w:hAnsi="仿宋" w:cs="Times New Roman" w:hint="eastAsia"/>
          <w:b/>
          <w:color w:val="000000"/>
          <w:kern w:val="0"/>
          <w:sz w:val="36"/>
          <w:szCs w:val="20"/>
        </w:rPr>
        <w:t>年</w:t>
      </w:r>
      <w:r>
        <w:rPr>
          <w:rFonts w:ascii="仿宋" w:eastAsia="仿宋" w:hAnsi="仿宋" w:cs="Times New Roman"/>
          <w:b/>
          <w:color w:val="000000"/>
          <w:kern w:val="0"/>
          <w:sz w:val="36"/>
          <w:szCs w:val="20"/>
        </w:rPr>
        <w:t>度报告</w:t>
      </w:r>
    </w:p>
    <w:p w:rsidR="006E7A9B" w:rsidRDefault="00604CFE">
      <w:pPr>
        <w:jc w:val="center"/>
        <w:rPr>
          <w:rFonts w:ascii="仿宋" w:eastAsia="仿宋" w:hAnsi="仿宋" w:cs="Times New Roman"/>
          <w:color w:val="000000"/>
          <w:kern w:val="0"/>
          <w:sz w:val="20"/>
          <w:szCs w:val="20"/>
        </w:rPr>
      </w:pP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2023年1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月1日-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2023年12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31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日</w:t>
      </w:r>
    </w:p>
    <w:p w:rsidR="006E7A9B" w:rsidRDefault="006E7A9B">
      <w:pPr>
        <w:jc w:val="center"/>
        <w:rPr>
          <w:rFonts w:ascii="仿宋" w:eastAsia="仿宋" w:hAnsi="仿宋" w:cs="Times New Roman"/>
          <w:color w:val="000000"/>
          <w:kern w:val="0"/>
          <w:sz w:val="20"/>
          <w:szCs w:val="20"/>
        </w:rPr>
      </w:pPr>
    </w:p>
    <w:p w:rsidR="006E7A9B" w:rsidRDefault="00604CFE">
      <w:pPr>
        <w:widowControl/>
        <w:jc w:val="center"/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§1  重要提示</w:t>
      </w: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br/>
        <w:t xml:space="preserve">   产品管理人保证本报告所载资料不存在虚假记载、误导性陈述或重大遗漏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,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并对其内容的真实性、准确性和完整性承担个别及连带责任。</w:t>
      </w: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br/>
        <w:t xml:space="preserve">   产品托管人中国工商银行股份有限公司，已复核了本报告中的财务指标、净值表现和投资组合报告等内容，保证复核内容不存在虚假记载、误导性陈述或者重大遗漏。</w:t>
      </w: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br/>
        <w:t xml:space="preserve">   本报告中财务资料未经审计。</w:t>
      </w:r>
    </w:p>
    <w:p w:rsidR="006E7A9B" w:rsidRDefault="006E7A9B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6E7A9B" w:rsidRDefault="00604CFE">
      <w:pPr>
        <w:widowControl/>
        <w:jc w:val="left"/>
        <w:rPr>
          <w:rFonts w:ascii="仿宋" w:eastAsia="仿宋" w:hAnsi="仿宋" w:cs="Times New Roman"/>
          <w:color w:val="000000"/>
          <w:kern w:val="0"/>
          <w:sz w:val="24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 xml:space="preserve">   本报告期自起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2023年1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月1日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至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2023年12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31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日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止。</w:t>
      </w:r>
    </w:p>
    <w:p w:rsidR="006E7A9B" w:rsidRDefault="006E7A9B">
      <w:pPr>
        <w:widowControl/>
        <w:jc w:val="left"/>
        <w:rPr>
          <w:rFonts w:ascii="仿宋" w:eastAsia="仿宋" w:hAnsi="仿宋" w:cs="Times New Roman"/>
          <w:color w:val="000000"/>
          <w:kern w:val="0"/>
          <w:sz w:val="24"/>
          <w:szCs w:val="20"/>
        </w:rPr>
      </w:pPr>
    </w:p>
    <w:p w:rsidR="006E7A9B" w:rsidRDefault="00604CFE">
      <w:pPr>
        <w:widowControl/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§2  产品概况</w:t>
      </w:r>
    </w:p>
    <w:p w:rsidR="006E7A9B" w:rsidRDefault="006E7A9B">
      <w:pPr>
        <w:widowControl/>
        <w:jc w:val="center"/>
        <w:rPr>
          <w:rFonts w:ascii="仿宋" w:eastAsia="仿宋" w:hAnsi="仿宋"/>
          <w:b/>
          <w:color w:val="000000"/>
          <w:sz w:val="24"/>
          <w:lang w:eastAsia="en-US"/>
        </w:rPr>
      </w:pPr>
    </w:p>
    <w:tbl>
      <w:tblPr>
        <w:tblW w:w="75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5677"/>
      </w:tblGrid>
      <w:tr w:rsidR="006E7A9B">
        <w:trPr>
          <w:trHeight w:val="319"/>
          <w:jc w:val="center"/>
        </w:trPr>
        <w:tc>
          <w:tcPr>
            <w:tcW w:w="1867" w:type="dxa"/>
            <w:tcBorders>
              <w:top w:val="double" w:sz="2" w:space="0" w:color="000000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产品名称</w:t>
            </w:r>
          </w:p>
        </w:tc>
        <w:tc>
          <w:tcPr>
            <w:tcW w:w="5677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川银系列“美日利”</w:t>
            </w:r>
            <w:r>
              <w:rPr>
                <w:rFonts w:ascii="仿宋" w:eastAsia="仿宋" w:hAnsi="仿宋"/>
                <w:color w:val="000000"/>
                <w:sz w:val="24"/>
              </w:rPr>
              <w:t>人民币理财产品</w:t>
            </w:r>
          </w:p>
        </w:tc>
      </w:tr>
      <w:tr w:rsidR="006E7A9B">
        <w:trPr>
          <w:trHeight w:val="327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产品登记编码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  <w:rPr>
                <w:rFonts w:eastAsia="宋体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C1079020000071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产品类型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  <w:rPr>
                <w:rFonts w:eastAsia="仿宋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非保本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净值型理财产品</w:t>
            </w:r>
          </w:p>
        </w:tc>
      </w:tr>
      <w:tr w:rsidR="006E7A9B">
        <w:trPr>
          <w:trHeight w:val="52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报告期末产品存续规模（份）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textAlignment w:val="top"/>
              <w:rPr>
                <w:rFonts w:eastAsia="宋体"/>
              </w:rPr>
            </w:pPr>
            <w:r>
              <w:rPr>
                <w:rFonts w:ascii="仿宋" w:eastAsia="仿宋" w:hAnsi="仿宋"/>
                <w:color w:val="000000"/>
                <w:sz w:val="24"/>
                <w:szCs w:val="22"/>
              </w:rPr>
              <w:t>2,397,292,011.61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收益类型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非保本浮动收益型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发行方式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公募</w:t>
            </w:r>
          </w:p>
        </w:tc>
      </w:tr>
      <w:tr w:rsidR="006E7A9B">
        <w:trPr>
          <w:trHeight w:val="1407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投资范围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spacing w:before="199" w:after="199"/>
              <w:jc w:val="left"/>
              <w:rPr>
                <w:rFonts w:eastAsia="仿宋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100%投资于期限在1年以内（含1年）的银行活期存款及银行定期存款、债券回购、中央银行票据、同业存单，剩余期限在397天以内（含397天）的债券、在银行间市场和证券交易所市场发行的资产支持证券，以及银保监会、中国人民银行认可的其他具有良好流动性的货币市场工具。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产品成立日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2020年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月3日    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产品终止日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119</w:t>
            </w:r>
            <w:r>
              <w:rPr>
                <w:rFonts w:ascii="仿宋" w:eastAsia="仿宋" w:hAnsi="仿宋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日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杠杆水平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  <w:rPr>
                <w:rFonts w:eastAsia="仿宋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108.45%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风险等级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  <w:rPr>
                <w:rFonts w:eastAsia="宋体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1级：低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2"/>
              </w:rPr>
              <w:t>产品管理人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/>
                <w:color w:val="000000"/>
                <w:sz w:val="24"/>
                <w:szCs w:val="22"/>
              </w:rPr>
              <w:t>四川银行股份有限公司</w:t>
            </w:r>
          </w:p>
        </w:tc>
      </w:tr>
      <w:tr w:rsidR="006E7A9B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产品托管人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中国工商银行股份有限公司</w:t>
            </w:r>
          </w:p>
        </w:tc>
      </w:tr>
    </w:tbl>
    <w:p w:rsidR="006E7A9B" w:rsidRDefault="006E7A9B">
      <w:pPr>
        <w:rPr>
          <w:rFonts w:ascii="仿宋" w:eastAsia="仿宋" w:hAnsi="仿宋" w:cs="Times New Roman"/>
          <w:color w:val="000000"/>
          <w:kern w:val="0"/>
          <w:sz w:val="20"/>
          <w:szCs w:val="20"/>
        </w:rPr>
      </w:pPr>
    </w:p>
    <w:p w:rsidR="006E7A9B" w:rsidRDefault="006E7A9B">
      <w:pPr>
        <w:rPr>
          <w:rFonts w:ascii="仿宋" w:eastAsia="仿宋" w:hAnsi="仿宋" w:cs="Times New Roman"/>
          <w:color w:val="000000"/>
          <w:kern w:val="0"/>
          <w:sz w:val="20"/>
          <w:szCs w:val="20"/>
        </w:rPr>
      </w:pPr>
    </w:p>
    <w:p w:rsidR="006E7A9B" w:rsidRDefault="00604CFE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§3  产品业绩表现</w:t>
      </w:r>
    </w:p>
    <w:p w:rsidR="006E7A9B" w:rsidRDefault="00604CFE">
      <w:pPr>
        <w:jc w:val="righ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单位：人民币元</w:t>
      </w:r>
    </w:p>
    <w:p w:rsidR="006E7A9B" w:rsidRDefault="006E7A9B">
      <w:pPr>
        <w:jc w:val="right"/>
        <w:rPr>
          <w:rFonts w:ascii="仿宋" w:eastAsia="仿宋" w:hAnsi="仿宋"/>
          <w:color w:val="000000"/>
          <w:sz w:val="24"/>
        </w:rPr>
      </w:pPr>
    </w:p>
    <w:tbl>
      <w:tblPr>
        <w:tblpPr w:leftFromText="180" w:rightFromText="180" w:vertAnchor="text" w:horzAnchor="page" w:tblpXSpec="center" w:tblpY="-17"/>
        <w:tblOverlap w:val="never"/>
        <w:tblW w:w="8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5890"/>
      </w:tblGrid>
      <w:tr w:rsidR="006E7A9B">
        <w:trPr>
          <w:trHeight w:val="282"/>
          <w:jc w:val="center"/>
        </w:trPr>
        <w:tc>
          <w:tcPr>
            <w:tcW w:w="3080" w:type="dxa"/>
            <w:tcBorders>
              <w:top w:val="double" w:sz="2" w:space="0" w:color="000000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0"/>
                <w:lang w:eastAsia="en-US"/>
              </w:rPr>
              <w:t>主要财务指标</w:t>
            </w:r>
          </w:p>
        </w:tc>
        <w:tc>
          <w:tcPr>
            <w:tcW w:w="5890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报告期（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2023年1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月1日至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2023年12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31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日）</w:t>
            </w:r>
          </w:p>
        </w:tc>
      </w:tr>
      <w:tr w:rsidR="006E7A9B">
        <w:trPr>
          <w:trHeight w:val="282"/>
          <w:jc w:val="center"/>
        </w:trPr>
        <w:tc>
          <w:tcPr>
            <w:tcW w:w="3080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0"/>
                <w:lang w:eastAsia="en-US"/>
              </w:rPr>
              <w:t>1.期末产品资产净值</w:t>
            </w:r>
          </w:p>
        </w:tc>
        <w:tc>
          <w:tcPr>
            <w:tcW w:w="5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2"/>
              </w:rPr>
              <w:t>2,397,292,011.61</w:t>
            </w:r>
          </w:p>
        </w:tc>
      </w:tr>
      <w:tr w:rsidR="006E7A9B">
        <w:trPr>
          <w:trHeight w:val="282"/>
          <w:jc w:val="center"/>
        </w:trPr>
        <w:tc>
          <w:tcPr>
            <w:tcW w:w="3080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0"/>
                <w:lang w:eastAsia="en-US"/>
              </w:rPr>
              <w:t>2.期末产品份额</w:t>
            </w:r>
          </w:p>
        </w:tc>
        <w:tc>
          <w:tcPr>
            <w:tcW w:w="5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2"/>
              </w:rPr>
              <w:t>2,397,292,011.61</w:t>
            </w:r>
          </w:p>
        </w:tc>
      </w:tr>
      <w:tr w:rsidR="006E7A9B">
        <w:trPr>
          <w:trHeight w:val="305"/>
          <w:jc w:val="center"/>
        </w:trPr>
        <w:tc>
          <w:tcPr>
            <w:tcW w:w="3080" w:type="dxa"/>
            <w:tcBorders>
              <w:top w:val="single" w:sz="6" w:space="0" w:color="D3D3D3"/>
              <w:left w:val="double" w:sz="2" w:space="0" w:color="000000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2"/>
              </w:rPr>
              <w:t>3.期末产品份额净值</w:t>
            </w:r>
          </w:p>
        </w:tc>
        <w:tc>
          <w:tcPr>
            <w:tcW w:w="5890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1.0000</w:t>
            </w:r>
          </w:p>
        </w:tc>
      </w:tr>
    </w:tbl>
    <w:p w:rsidR="006E7A9B" w:rsidRDefault="006E7A9B">
      <w:pPr>
        <w:jc w:val="left"/>
        <w:rPr>
          <w:rFonts w:ascii="仿宋" w:eastAsia="仿宋" w:hAnsi="仿宋"/>
          <w:color w:val="000000"/>
          <w:sz w:val="24"/>
          <w:lang w:eastAsia="en-US"/>
        </w:rPr>
      </w:pPr>
    </w:p>
    <w:p w:rsidR="006E7A9B" w:rsidRDefault="00604CFE">
      <w:pPr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报告期内保持对市场的密切关注，运用多种方式为客户创造收益，</w:t>
      </w:r>
      <w:r>
        <w:rPr>
          <w:rFonts w:ascii="仿宋" w:eastAsia="仿宋" w:hAnsi="仿宋" w:hint="eastAsia"/>
          <w:color w:val="000000"/>
          <w:sz w:val="24"/>
        </w:rPr>
        <w:t>年度末产品基金单位当日收益为0.6999，七日年化为2.5457</w:t>
      </w:r>
      <w:r>
        <w:rPr>
          <w:rFonts w:ascii="仿宋" w:eastAsia="仿宋" w:hAnsi="仿宋"/>
          <w:color w:val="000000"/>
          <w:sz w:val="24"/>
        </w:rPr>
        <w:t>。</w:t>
      </w:r>
    </w:p>
    <w:p w:rsidR="006E7A9B" w:rsidRDefault="006E7A9B">
      <w:pPr>
        <w:jc w:val="left"/>
        <w:rPr>
          <w:rFonts w:ascii="仿宋" w:eastAsia="仿宋" w:hAnsi="仿宋"/>
          <w:color w:val="000000"/>
          <w:sz w:val="24"/>
        </w:rPr>
      </w:pPr>
    </w:p>
    <w:p w:rsidR="006E7A9B" w:rsidRDefault="00604CFE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§4  产品投资策略和运作分析</w:t>
      </w:r>
    </w:p>
    <w:p w:rsidR="006E7A9B" w:rsidRDefault="006E7A9B">
      <w:pPr>
        <w:jc w:val="center"/>
        <w:rPr>
          <w:rFonts w:ascii="仿宋" w:eastAsia="仿宋" w:hAnsi="仿宋"/>
          <w:b/>
          <w:color w:val="000000"/>
          <w:sz w:val="24"/>
        </w:rPr>
      </w:pP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4.1 报告期内产品投资策略和运作分析</w:t>
      </w:r>
    </w:p>
    <w:p w:rsidR="006E7A9B" w:rsidRDefault="006E7A9B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 xml:space="preserve">     产品设立严格符合资管新规要求，投资策略为持有到期。产品自2020年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9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月成立以来，累计管理规模</w:t>
      </w:r>
      <w:r>
        <w:rPr>
          <w:rFonts w:ascii="仿宋" w:eastAsia="仿宋" w:hAnsi="仿宋" w:cs="Times New Roman"/>
          <w:kern w:val="0"/>
          <w:sz w:val="24"/>
          <w:szCs w:val="22"/>
        </w:rPr>
        <w:t>2,397,292,011.61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元，截止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2023年12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31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日，净值</w:t>
      </w:r>
      <w:r>
        <w:rPr>
          <w:rFonts w:ascii="仿宋" w:eastAsia="仿宋" w:hAnsi="仿宋" w:cs="Times New Roman"/>
          <w:kern w:val="0"/>
          <w:sz w:val="24"/>
          <w:szCs w:val="22"/>
        </w:rPr>
        <w:t>2,397,292,011.61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。</w:t>
      </w:r>
    </w:p>
    <w:p w:rsidR="006E7A9B" w:rsidRDefault="006E7A9B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4.2报告期内产品主要投资风险</w:t>
      </w:r>
    </w:p>
    <w:p w:rsidR="006E7A9B" w:rsidRDefault="006E7A9B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 xml:space="preserve">     产品的投资品种价格受经济因素、政治因素、投资心理和交易制度等各种因素影响而波动，导致收益水平变化产生风险。主要包括：政策风险、经济周期风险、利率风险、信用风险、再投资风险等。</w:t>
      </w:r>
    </w:p>
    <w:p w:rsidR="006E7A9B" w:rsidRDefault="006E7A9B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4.3产品流动性风险分析</w:t>
      </w:r>
    </w:p>
    <w:p w:rsidR="006E7A9B" w:rsidRDefault="00604CFE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 xml:space="preserve">    </w:t>
      </w:r>
    </w:p>
    <w:p w:rsidR="001908FD" w:rsidRDefault="001908FD" w:rsidP="001908FD">
      <w:pPr>
        <w:ind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0"/>
        </w:rPr>
      </w:pPr>
      <w:r w:rsidRPr="00E8697A"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本产品主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要投资范围为标准化资产，并保有一定流动性储备，整体流动性风险可控</w:t>
      </w:r>
      <w:r w:rsidRPr="00E8697A"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。本产品通过额度控制、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动态监测</w:t>
      </w:r>
      <w:r w:rsidRPr="00E8697A"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、正回购及变现高流动性资产的方式应对流动性风险。具体包括：一是跟踪资金申购赎回情况，提前备付流动资金；二是根据产品的期限，合理安排投资资产剩余期限，预防流动性风险；三是产品持有一定比例的高流动性资产，赎回前主要通过储备的流动性或卖出资产变现，满足产品的流动性需求。</w:t>
      </w:r>
    </w:p>
    <w:p w:rsidR="006E7A9B" w:rsidRPr="001908FD" w:rsidRDefault="006E7A9B">
      <w:pPr>
        <w:ind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0"/>
        </w:rPr>
      </w:pPr>
      <w:bookmarkStart w:id="0" w:name="_GoBack"/>
      <w:bookmarkEnd w:id="0"/>
    </w:p>
    <w:p w:rsidR="006E7A9B" w:rsidRDefault="00604CFE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§5 投资组合报告</w:t>
      </w:r>
    </w:p>
    <w:p w:rsidR="006E7A9B" w:rsidRDefault="006E7A9B">
      <w:pPr>
        <w:jc w:val="center"/>
        <w:rPr>
          <w:rFonts w:ascii="仿宋" w:eastAsia="仿宋" w:hAnsi="仿宋"/>
          <w:b/>
          <w:color w:val="000000"/>
          <w:sz w:val="24"/>
        </w:rPr>
      </w:pPr>
    </w:p>
    <w:p w:rsidR="006E7A9B" w:rsidRDefault="00604CFE">
      <w:pPr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5.1 产品投资资产种类</w:t>
      </w: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320"/>
        <w:gridCol w:w="2919"/>
        <w:gridCol w:w="2385"/>
      </w:tblGrid>
      <w:tr w:rsidR="006E7A9B">
        <w:trPr>
          <w:trHeight w:val="282"/>
        </w:trPr>
        <w:tc>
          <w:tcPr>
            <w:tcW w:w="689" w:type="dxa"/>
            <w:tcBorders>
              <w:top w:val="double" w:sz="2" w:space="0" w:color="000000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序号</w:t>
            </w:r>
          </w:p>
        </w:tc>
        <w:tc>
          <w:tcPr>
            <w:tcW w:w="3320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项目</w:t>
            </w:r>
          </w:p>
        </w:tc>
        <w:tc>
          <w:tcPr>
            <w:tcW w:w="2919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面值(元)</w:t>
            </w:r>
          </w:p>
        </w:tc>
        <w:tc>
          <w:tcPr>
            <w:tcW w:w="2385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产品总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资产比例(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%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)</w:t>
            </w: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固定收益投资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2,309,851,904.82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88.85</w:t>
            </w: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 xml:space="preserve">  其中：债券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2,309,851,904.82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88.85</w:t>
            </w: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 xml:space="preserve">  资产支持证券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4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权益投资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 xml:space="preserve">  其中：股票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6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基金投资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7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信托投资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8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金融衍生品投资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9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买入返售金融资产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160,091,962.53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6.16</w:t>
            </w: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10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 xml:space="preserve">  其中：买断式回购的买入返售金融资产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11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银行存款和结算备付金合计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129,905,770.31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5.00</w:t>
            </w: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numPr>
                <w:ilvl w:val="0"/>
                <w:numId w:val="12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其他资产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6E7A9B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E7A9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总计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2,599,849,637.66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100.00</w:t>
            </w:r>
          </w:p>
        </w:tc>
      </w:tr>
    </w:tbl>
    <w:p w:rsidR="006E7A9B" w:rsidRDefault="006E7A9B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6E7A9B" w:rsidRDefault="006E7A9B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6E7A9B" w:rsidRDefault="00604CFE">
      <w:pPr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>5.2 前十大资产持仓情况</w:t>
      </w:r>
    </w:p>
    <w:tbl>
      <w:tblPr>
        <w:tblW w:w="9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129"/>
        <w:gridCol w:w="1991"/>
        <w:gridCol w:w="2203"/>
        <w:gridCol w:w="2366"/>
      </w:tblGrid>
      <w:tr w:rsidR="006E7A9B">
        <w:trPr>
          <w:trHeight w:val="282"/>
        </w:trPr>
        <w:tc>
          <w:tcPr>
            <w:tcW w:w="638" w:type="dxa"/>
            <w:tcBorders>
              <w:top w:val="double" w:sz="2" w:space="0" w:color="000000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序号</w:t>
            </w:r>
          </w:p>
        </w:tc>
        <w:tc>
          <w:tcPr>
            <w:tcW w:w="2129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资产名称</w:t>
            </w:r>
          </w:p>
        </w:tc>
        <w:tc>
          <w:tcPr>
            <w:tcW w:w="1991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资产面值(元)</w:t>
            </w:r>
          </w:p>
        </w:tc>
        <w:tc>
          <w:tcPr>
            <w:tcW w:w="2203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资产公允价值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（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元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）</w:t>
            </w:r>
          </w:p>
        </w:tc>
        <w:tc>
          <w:tcPr>
            <w:tcW w:w="2366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产品净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资产比例(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%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)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bottom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23深圳前海微众银行CD035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100,000,000.00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99,930,200.00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3.84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23江西银行CD160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100,000,000.00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99,784,200.00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3.84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23晋商银行CD141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100,000,000.00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99,484,300.00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3.83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23天津农村商业银行CD214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70,000,000.00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69,321,210.00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2.67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23贵州银行CD045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70,000,000.00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69,253,240.00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2.66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23渤海银行CD335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50,000,000.00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49,949,550.00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1.92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23渤海银行CD351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50,000,000.00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49,914,450.00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1.92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23建设银行CD290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50,000,000.00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49,895,800.00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1.92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23深圳前海微众银行CD046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50,000,000.00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49,893,250.00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1.92</w:t>
            </w:r>
          </w:p>
        </w:tc>
      </w:tr>
      <w:tr w:rsidR="006E7A9B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23交通银行CD268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50,000,000.00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49,892,600.00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6E7A9B" w:rsidRDefault="00604CFE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1.92</w:t>
            </w:r>
          </w:p>
        </w:tc>
      </w:tr>
    </w:tbl>
    <w:p w:rsidR="006E7A9B" w:rsidRDefault="006E7A9B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6E7A9B" w:rsidRDefault="006E7A9B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6E7A9B" w:rsidRDefault="00604CFE">
      <w:pPr>
        <w:widowControl/>
        <w:jc w:val="center"/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  <w:t>§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0"/>
        </w:rPr>
        <w:t>6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  <w:t xml:space="preserve"> 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0"/>
        </w:rPr>
        <w:t>托管人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  <w:t>报告</w:t>
      </w:r>
    </w:p>
    <w:p w:rsidR="006E7A9B" w:rsidRDefault="006E7A9B">
      <w:pPr>
        <w:jc w:val="left"/>
        <w:rPr>
          <w:rFonts w:ascii="仿宋" w:eastAsia="仿宋" w:hAnsi="仿宋"/>
          <w:b/>
          <w:color w:val="000000"/>
          <w:sz w:val="24"/>
          <w:lang w:eastAsia="en-US"/>
        </w:rPr>
      </w:pPr>
    </w:p>
    <w:p w:rsidR="006E7A9B" w:rsidRDefault="00604CFE">
      <w:pPr>
        <w:widowControl/>
        <w:spacing w:line="360" w:lineRule="auto"/>
        <w:ind w:firstLineChars="100" w:firstLine="240"/>
        <w:jc w:val="left"/>
        <w:rPr>
          <w:rFonts w:ascii="仿宋" w:eastAsia="仿宋" w:hAnsi="仿宋"/>
          <w:color w:val="000000"/>
          <w:sz w:val="24"/>
          <w:szCs w:val="22"/>
        </w:rPr>
      </w:pPr>
      <w:r>
        <w:rPr>
          <w:rFonts w:ascii="仿宋" w:eastAsia="仿宋" w:hAnsi="仿宋" w:hint="eastAsia"/>
          <w:color w:val="000000"/>
          <w:sz w:val="24"/>
          <w:szCs w:val="22"/>
        </w:rPr>
        <w:lastRenderedPageBreak/>
        <w:t>工商银行具备完善的公司治理结构、内部稽核监控制度和风险控制制度，我行在履行托管职责中，严格遵守有关法律法规、托管协议的规定，尽职尽责地履行托管义务并安全保管托管资产。</w:t>
      </w:r>
    </w:p>
    <w:p w:rsidR="006E7A9B" w:rsidRDefault="006E7A9B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604CFE" w:rsidRDefault="00604CFE" w:rsidP="00604CFE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604CFE" w:rsidRDefault="00604CFE" w:rsidP="00604CFE">
      <w:pPr>
        <w:widowControl/>
        <w:jc w:val="center"/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  <w:t>§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0"/>
        </w:rPr>
        <w:t>7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  <w:t xml:space="preserve"> 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0"/>
        </w:rPr>
        <w:t>关联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交易情况</w:t>
      </w:r>
    </w:p>
    <w:p w:rsidR="006E7A9B" w:rsidRDefault="00604CFE" w:rsidP="00604CFE">
      <w:pPr>
        <w:ind w:firstLineChars="100" w:firstLine="240"/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  <w:szCs w:val="22"/>
        </w:rPr>
        <w:t>无</w:t>
      </w:r>
      <w:r>
        <w:rPr>
          <w:rFonts w:ascii="仿宋" w:eastAsia="仿宋" w:hAnsi="仿宋"/>
          <w:color w:val="000000"/>
          <w:sz w:val="24"/>
          <w:szCs w:val="22"/>
        </w:rPr>
        <w:t>。</w:t>
      </w:r>
    </w:p>
    <w:sectPr w:rsidR="006E7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0D" w:rsidRDefault="000F710D" w:rsidP="001908FD">
      <w:r>
        <w:separator/>
      </w:r>
    </w:p>
  </w:endnote>
  <w:endnote w:type="continuationSeparator" w:id="0">
    <w:p w:rsidR="000F710D" w:rsidRDefault="000F710D" w:rsidP="0019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0D" w:rsidRDefault="000F710D" w:rsidP="001908FD">
      <w:r>
        <w:separator/>
      </w:r>
    </w:p>
  </w:footnote>
  <w:footnote w:type="continuationSeparator" w:id="0">
    <w:p w:rsidR="000F710D" w:rsidRDefault="000F710D" w:rsidP="00190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11FE1"/>
    <w:rsid w:val="000F710D"/>
    <w:rsid w:val="001908FD"/>
    <w:rsid w:val="00604CFE"/>
    <w:rsid w:val="006E7A9B"/>
    <w:rsid w:val="023D3E26"/>
    <w:rsid w:val="04836438"/>
    <w:rsid w:val="07F36610"/>
    <w:rsid w:val="0BE9219C"/>
    <w:rsid w:val="0D2D75E8"/>
    <w:rsid w:val="12767544"/>
    <w:rsid w:val="20B912D1"/>
    <w:rsid w:val="239E502E"/>
    <w:rsid w:val="24E8576B"/>
    <w:rsid w:val="27F5446E"/>
    <w:rsid w:val="28DB6496"/>
    <w:rsid w:val="294A584A"/>
    <w:rsid w:val="31BD3F90"/>
    <w:rsid w:val="39433067"/>
    <w:rsid w:val="39AA15AF"/>
    <w:rsid w:val="3A680E02"/>
    <w:rsid w:val="3C1C2FB8"/>
    <w:rsid w:val="46E13057"/>
    <w:rsid w:val="46E3326F"/>
    <w:rsid w:val="4BEE4F7F"/>
    <w:rsid w:val="4CD162A0"/>
    <w:rsid w:val="530B5FD0"/>
    <w:rsid w:val="55BE6267"/>
    <w:rsid w:val="5B7A002D"/>
    <w:rsid w:val="5F431E6C"/>
    <w:rsid w:val="68BF289F"/>
    <w:rsid w:val="6D0C3B99"/>
    <w:rsid w:val="6E211FE1"/>
    <w:rsid w:val="71F0393A"/>
    <w:rsid w:val="7A1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7BDFFC-9F8B-493F-85DB-FBC2B647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8F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90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8F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季度报告</dc:title>
  <dc:creator>gdgz-wenjx</dc:creator>
  <cp:lastModifiedBy>苏晓雅</cp:lastModifiedBy>
  <cp:revision>3</cp:revision>
  <dcterms:created xsi:type="dcterms:W3CDTF">2022-10-20T07:48:00Z</dcterms:created>
  <dcterms:modified xsi:type="dcterms:W3CDTF">2024-04-18T01:51:00Z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