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8647C">
      <w:pPr>
        <w:keepNext w:val="0"/>
        <w:keepLines w:val="0"/>
        <w:pageBreakBefore w:val="0"/>
        <w:widowControl w:val="0"/>
        <w:kinsoku/>
        <w:wordWrap/>
        <w:overflowPunct/>
        <w:topLinePunct w:val="0"/>
        <w:autoSpaceDE/>
        <w:autoSpaceDN/>
        <w:bidi w:val="0"/>
        <w:adjustRightInd/>
        <w:snapToGrid/>
        <w:spacing w:line="360" w:lineRule="auto"/>
        <w:ind w:firstLine="561" w:firstLineChars="200"/>
        <w:jc w:val="center"/>
        <w:textAlignment w:val="auto"/>
        <w:rPr>
          <w:rFonts w:hint="eastAsia"/>
          <w:b/>
          <w:bCs/>
          <w:sz w:val="28"/>
          <w:szCs w:val="28"/>
        </w:rPr>
      </w:pPr>
      <w:bookmarkStart w:id="1" w:name="_GoBack"/>
      <w:bookmarkEnd w:id="1"/>
      <w:r>
        <w:rPr>
          <w:rFonts w:hint="eastAsia"/>
          <w:b/>
          <w:bCs/>
          <w:sz w:val="28"/>
          <w:szCs w:val="28"/>
        </w:rPr>
        <w:t>四川银行</w:t>
      </w:r>
      <w:r>
        <w:rPr>
          <w:rFonts w:hint="eastAsia"/>
          <w:b/>
          <w:bCs/>
          <w:sz w:val="28"/>
          <w:szCs w:val="28"/>
          <w:lang w:val="en-US" w:eastAsia="zh-CN"/>
        </w:rPr>
        <w:t>金盾</w:t>
      </w:r>
      <w:r>
        <w:rPr>
          <w:rFonts w:hint="eastAsia"/>
          <w:b/>
          <w:bCs/>
          <w:sz w:val="28"/>
          <w:szCs w:val="28"/>
        </w:rPr>
        <w:t>卡持卡</w:t>
      </w:r>
      <w:r>
        <w:rPr>
          <w:rFonts w:hint="eastAsia"/>
          <w:b/>
          <w:bCs/>
          <w:sz w:val="28"/>
          <w:szCs w:val="28"/>
          <w:lang w:val="en-US" w:eastAsia="zh-CN"/>
        </w:rPr>
        <w:t>免费保险</w:t>
      </w:r>
      <w:r>
        <w:rPr>
          <w:rFonts w:hint="eastAsia"/>
          <w:b/>
          <w:bCs/>
          <w:sz w:val="28"/>
          <w:szCs w:val="28"/>
        </w:rPr>
        <w:t>权益个人信息提供授权书</w:t>
      </w:r>
    </w:p>
    <w:p w14:paraId="3825797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授权书是您与四川银行股份有限公司（以下简称“四川银行”）就个人信息对外提供事宜出具的授权书，为了维护您的权益，请在签署本授权书前，仔细阅读本授权书所有内容（特别是字体加黑条款），关注您在本授权书中的权利、义务，在确认充分了解后慎重决定是否同意本授权书。</w:t>
      </w:r>
    </w:p>
    <w:p w14:paraId="23E12C8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p>
    <w:p w14:paraId="2BB45C8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一、授权事项</w:t>
      </w:r>
    </w:p>
    <w:p w14:paraId="01EE14C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（一）为向您提供</w:t>
      </w:r>
      <w:r>
        <w:rPr>
          <w:rFonts w:hint="eastAsia" w:asciiTheme="minorEastAsia" w:hAnsiTheme="minorEastAsia" w:cstheme="minorEastAsia"/>
          <w:sz w:val="24"/>
          <w:szCs w:val="24"/>
          <w:lang w:val="en-US" w:eastAsia="zh-CN"/>
        </w:rPr>
        <w:t>金盾</w:t>
      </w:r>
      <w:r>
        <w:rPr>
          <w:rFonts w:hint="eastAsia" w:asciiTheme="minorEastAsia" w:hAnsiTheme="minorEastAsia" w:eastAsiaTheme="minorEastAsia" w:cstheme="minorEastAsia"/>
          <w:sz w:val="24"/>
          <w:szCs w:val="24"/>
          <w:lang w:eastAsia="zh-CN"/>
        </w:rPr>
        <w:t>卡</w:t>
      </w:r>
      <w:r>
        <w:rPr>
          <w:rFonts w:hint="eastAsia" w:asciiTheme="minorEastAsia" w:hAnsiTheme="minorEastAsia" w:cstheme="minorEastAsia"/>
          <w:sz w:val="24"/>
          <w:szCs w:val="24"/>
          <w:lang w:val="en-US" w:eastAsia="zh-CN"/>
        </w:rPr>
        <w:t>持卡</w:t>
      </w:r>
      <w:r>
        <w:rPr>
          <w:rFonts w:hint="eastAsia" w:asciiTheme="minorEastAsia" w:hAnsiTheme="minorEastAsia" w:eastAsiaTheme="minorEastAsia" w:cstheme="minorEastAsia"/>
          <w:sz w:val="24"/>
          <w:szCs w:val="24"/>
          <w:lang w:eastAsia="zh-CN"/>
        </w:rPr>
        <w:t>权益中【</w:t>
      </w:r>
      <w:r>
        <w:rPr>
          <w:rFonts w:hint="eastAsia" w:asciiTheme="minorEastAsia" w:hAnsiTheme="minorEastAsia" w:cstheme="minorEastAsia"/>
          <w:b/>
          <w:bCs/>
          <w:sz w:val="24"/>
          <w:szCs w:val="24"/>
          <w:lang w:val="en-US" w:eastAsia="zh-CN"/>
        </w:rPr>
        <w:t>免费保险权益</w:t>
      </w: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您</w:t>
      </w:r>
      <w:r>
        <w:rPr>
          <w:rFonts w:hint="eastAsia" w:asciiTheme="minorEastAsia" w:hAnsiTheme="minorEastAsia" w:eastAsiaTheme="minorEastAsia" w:cstheme="minorEastAsia"/>
          <w:sz w:val="24"/>
          <w:szCs w:val="24"/>
        </w:rPr>
        <w:t>同意并授权：</w:t>
      </w:r>
    </w:p>
    <w:p w14:paraId="4D1EE4C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1.四川银行可基于为您提供、管理、履行</w:t>
      </w:r>
      <w:r>
        <w:rPr>
          <w:rFonts w:hint="eastAsia" w:asciiTheme="minorEastAsia" w:hAnsiTheme="minorEastAsia" w:cstheme="minorEastAsia"/>
          <w:b/>
          <w:bCs/>
          <w:sz w:val="24"/>
          <w:szCs w:val="24"/>
          <w:lang w:val="en-US" w:eastAsia="zh-CN"/>
        </w:rPr>
        <w:t>金盾</w:t>
      </w:r>
      <w:r>
        <w:rPr>
          <w:rFonts w:hint="eastAsia" w:asciiTheme="minorEastAsia" w:hAnsiTheme="minorEastAsia" w:eastAsiaTheme="minorEastAsia" w:cstheme="minorEastAsia"/>
          <w:b/>
          <w:bCs/>
          <w:sz w:val="24"/>
          <w:szCs w:val="24"/>
        </w:rPr>
        <w:t>卡持卡</w:t>
      </w:r>
      <w:r>
        <w:rPr>
          <w:rFonts w:hint="eastAsia" w:asciiTheme="minorEastAsia" w:hAnsiTheme="minorEastAsia" w:cstheme="minorEastAsia"/>
          <w:b/>
          <w:bCs/>
          <w:sz w:val="24"/>
          <w:szCs w:val="24"/>
          <w:lang w:val="en-US" w:eastAsia="zh-CN"/>
        </w:rPr>
        <w:t>免费保险</w:t>
      </w:r>
      <w:r>
        <w:rPr>
          <w:rFonts w:hint="eastAsia" w:asciiTheme="minorEastAsia" w:hAnsiTheme="minorEastAsia" w:eastAsiaTheme="minorEastAsia" w:cstheme="minorEastAsia"/>
          <w:b/>
          <w:bCs/>
          <w:sz w:val="24"/>
          <w:szCs w:val="24"/>
        </w:rPr>
        <w:t>权益中【</w:t>
      </w:r>
      <w:r>
        <w:rPr>
          <w:rFonts w:hint="eastAsia" w:asciiTheme="minorEastAsia" w:hAnsiTheme="minorEastAsia" w:cstheme="minorEastAsia"/>
          <w:b w:val="0"/>
          <w:bCs w:val="0"/>
          <w:kern w:val="2"/>
          <w:sz w:val="24"/>
          <w:szCs w:val="24"/>
          <w:lang w:val="en-US" w:eastAsia="zh-CN"/>
        </w:rPr>
        <w:t>金盾</w:t>
      </w:r>
      <w:r>
        <w:rPr>
          <w:rFonts w:hint="eastAsia" w:asciiTheme="minorEastAsia" w:hAnsiTheme="minorEastAsia" w:eastAsiaTheme="minorEastAsia" w:cstheme="minorEastAsia"/>
          <w:b w:val="0"/>
          <w:bCs w:val="0"/>
          <w:color w:val="auto"/>
          <w:kern w:val="2"/>
          <w:sz w:val="24"/>
          <w:szCs w:val="24"/>
          <w:lang w:eastAsia="zh-CN"/>
        </w:rPr>
        <w:t>卡</w:t>
      </w:r>
      <w:r>
        <w:rPr>
          <w:rFonts w:hint="eastAsia" w:asciiTheme="minorEastAsia" w:hAnsiTheme="minorEastAsia" w:eastAsiaTheme="minorEastAsia" w:cstheme="minorEastAsia"/>
          <w:b w:val="0"/>
          <w:bCs w:val="0"/>
          <w:color w:val="auto"/>
          <w:kern w:val="2"/>
          <w:sz w:val="24"/>
          <w:szCs w:val="24"/>
          <w:lang w:val="en-US" w:eastAsia="zh-CN"/>
        </w:rPr>
        <w:t>持卡权益</w:t>
      </w:r>
      <w:r>
        <w:rPr>
          <w:rFonts w:hint="eastAsia" w:asciiTheme="minorEastAsia" w:hAnsiTheme="minorEastAsia" w:eastAsiaTheme="minorEastAsia" w:cstheme="minorEastAsia"/>
          <w:b w:val="0"/>
          <w:bCs w:val="0"/>
          <w:color w:val="auto"/>
          <w:kern w:val="2"/>
          <w:sz w:val="24"/>
          <w:szCs w:val="24"/>
        </w:rPr>
        <w:t>中为您提供免费保险权益</w:t>
      </w:r>
      <w:r>
        <w:rPr>
          <w:rFonts w:hint="eastAsia" w:asciiTheme="minorEastAsia" w:hAnsiTheme="minorEastAsia" w:eastAsiaTheme="minorEastAsia" w:cstheme="minorEastAsia"/>
          <w:b/>
          <w:bCs/>
          <w:sz w:val="24"/>
          <w:szCs w:val="24"/>
        </w:rPr>
        <w:t>】服务的目的，向第三方提供您本人的姓名、证件类型、证件号码、手机号码（第三方机构详见附件）</w:t>
      </w:r>
      <w:r>
        <w:rPr>
          <w:rFonts w:hint="eastAsia" w:asciiTheme="minorEastAsia" w:hAnsiTheme="minorEastAsia" w:eastAsiaTheme="minorEastAsia" w:cstheme="minorEastAsia"/>
          <w:b/>
          <w:bCs/>
          <w:sz w:val="24"/>
          <w:szCs w:val="24"/>
          <w:lang w:eastAsia="zh-CN"/>
        </w:rPr>
        <w:t>。</w:t>
      </w:r>
    </w:p>
    <w:p w14:paraId="13013E7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2.在</w:t>
      </w:r>
      <w:r>
        <w:rPr>
          <w:rFonts w:hint="eastAsia" w:asciiTheme="minorEastAsia" w:hAnsiTheme="minorEastAsia" w:cstheme="minorEastAsia"/>
          <w:b/>
          <w:bCs/>
          <w:sz w:val="24"/>
          <w:szCs w:val="24"/>
          <w:lang w:val="en-US" w:eastAsia="zh-CN"/>
        </w:rPr>
        <w:t>金盾卡免费保险权益</w:t>
      </w:r>
      <w:r>
        <w:rPr>
          <w:rFonts w:hint="eastAsia" w:asciiTheme="minorEastAsia" w:hAnsiTheme="minorEastAsia" w:eastAsiaTheme="minorEastAsia" w:cstheme="minorEastAsia"/>
          <w:b/>
          <w:bCs/>
          <w:sz w:val="24"/>
          <w:szCs w:val="24"/>
        </w:rPr>
        <w:t>业务存续期间，四川银行可基于</w:t>
      </w:r>
      <w:r>
        <w:rPr>
          <w:rFonts w:hint="eastAsia" w:asciiTheme="minorEastAsia" w:hAnsiTheme="minorEastAsia" w:cstheme="minorEastAsia"/>
          <w:b/>
          <w:bCs/>
          <w:sz w:val="24"/>
          <w:szCs w:val="24"/>
          <w:lang w:val="en-US" w:eastAsia="zh-CN"/>
        </w:rPr>
        <w:t>金盾卡</w:t>
      </w:r>
      <w:r>
        <w:rPr>
          <w:rFonts w:hint="eastAsia" w:asciiTheme="minorEastAsia" w:hAnsiTheme="minorEastAsia" w:eastAsiaTheme="minorEastAsia" w:cstheme="minorEastAsia"/>
          <w:b/>
          <w:bCs/>
          <w:sz w:val="24"/>
          <w:szCs w:val="24"/>
        </w:rPr>
        <w:t>卡持卡权益中【</w:t>
      </w:r>
      <w:r>
        <w:rPr>
          <w:rFonts w:hint="eastAsia" w:asciiTheme="minorEastAsia" w:hAnsiTheme="minorEastAsia" w:cstheme="minorEastAsia"/>
          <w:b/>
          <w:bCs/>
          <w:sz w:val="24"/>
          <w:szCs w:val="24"/>
          <w:lang w:val="en-US" w:eastAsia="zh-CN"/>
        </w:rPr>
        <w:t>免费保险权益</w:t>
      </w:r>
      <w:r>
        <w:rPr>
          <w:rFonts w:hint="eastAsia" w:asciiTheme="minorEastAsia" w:hAnsiTheme="minorEastAsia" w:eastAsiaTheme="minorEastAsia" w:cstheme="minorEastAsia"/>
          <w:b/>
          <w:bCs/>
          <w:sz w:val="24"/>
          <w:szCs w:val="24"/>
        </w:rPr>
        <w:t>】服务的目的，向第三方提供您本人的姓名、证件类型、证件号码、手机号码（第三方机构详见附件）。</w:t>
      </w:r>
    </w:p>
    <w:p w14:paraId="29089B0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（二）除下述情形外，</w:t>
      </w:r>
      <w:r>
        <w:rPr>
          <w:rFonts w:hint="eastAsia" w:asciiTheme="minorEastAsia" w:hAnsiTheme="minorEastAsia" w:eastAsiaTheme="minorEastAsia" w:cstheme="minorEastAsia"/>
          <w:sz w:val="24"/>
          <w:szCs w:val="24"/>
          <w:lang w:val="en-US" w:eastAsia="zh-CN"/>
        </w:rPr>
        <w:t>四川银行</w:t>
      </w:r>
      <w:r>
        <w:rPr>
          <w:rFonts w:hint="eastAsia" w:asciiTheme="minorEastAsia" w:hAnsiTheme="minorEastAsia" w:eastAsiaTheme="minorEastAsia" w:cstheme="minorEastAsia"/>
          <w:sz w:val="24"/>
          <w:szCs w:val="24"/>
        </w:rPr>
        <w:t>不会将您的个人信息提供给有关合作机构，在提供您的个人信息时应向有关合作机构明确其保护您相关信息的职责并通过签署协议等方式要求有关合作机构承担相应保密义务：</w:t>
      </w:r>
    </w:p>
    <w:p w14:paraId="3C4EAAE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1.经您另行书面同意或授权的；</w:t>
      </w:r>
    </w:p>
    <w:p w14:paraId="0FAED29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四川银行</w:t>
      </w:r>
      <w:r>
        <w:rPr>
          <w:rFonts w:hint="eastAsia" w:asciiTheme="minorEastAsia" w:hAnsiTheme="minorEastAsia" w:eastAsiaTheme="minorEastAsia" w:cstheme="minorEastAsia"/>
          <w:sz w:val="24"/>
          <w:szCs w:val="24"/>
        </w:rPr>
        <w:t>因税务、审计、诉讼/仲裁/调解、履行监管要求（如反洗钱、反电信网络诈骗、账户实名制管理、非居民金融账户涉税信息尽职调查、监管标准化数据报送、金融基础数据报送）等根据相关法律法规进行披露的，或有权机关要求的。</w:t>
      </w:r>
    </w:p>
    <w:p w14:paraId="05CEFEE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上述条款涉及向合作机构提供的，将可能会使相关合作机构据此知悉您的相关信息，并依法为您提供服务或采取可能涉及您的行为。</w:t>
      </w:r>
    </w:p>
    <w:p w14:paraId="6629852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二、其他事项</w:t>
      </w:r>
    </w:p>
    <w:p w14:paraId="7F14F7C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1.您保证签署本授权书是您的真实意思表示，并承诺所提供的资料、信息真实、准确、完整、合法、有效。</w:t>
      </w:r>
    </w:p>
    <w:p w14:paraId="0A87A3F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bCs/>
          <w:color w:val="auto"/>
          <w:sz w:val="24"/>
          <w:szCs w:val="24"/>
        </w:rPr>
        <w:t>本授权书经您签字后生效，有效期至您</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cstheme="minorEastAsia"/>
          <w:b/>
          <w:bCs/>
          <w:color w:val="auto"/>
          <w:sz w:val="24"/>
          <w:szCs w:val="24"/>
          <w:lang w:val="en-US" w:eastAsia="zh-CN"/>
        </w:rPr>
        <w:t>授权领取本次免费保险权益</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产生的业务关系全部结束或</w:t>
      </w:r>
      <w:r>
        <w:rPr>
          <w:rFonts w:hint="eastAsia" w:asciiTheme="minorEastAsia" w:hAnsiTheme="minorEastAsia" w:eastAsiaTheme="minorEastAsia" w:cstheme="minorEastAsia"/>
          <w:b/>
          <w:bCs/>
          <w:color w:val="auto"/>
          <w:sz w:val="24"/>
          <w:szCs w:val="24"/>
          <w:lang w:eastAsia="zh-CN"/>
        </w:rPr>
        <w:t>【您主动撤回同意</w:t>
      </w:r>
      <w:r>
        <w:rPr>
          <w:rFonts w:hint="eastAsia" w:asciiTheme="minorEastAsia" w:hAnsiTheme="minorEastAsia" w:cstheme="minorEastAsia"/>
          <w:b/>
          <w:bCs/>
          <w:color w:val="auto"/>
          <w:sz w:val="24"/>
          <w:szCs w:val="24"/>
          <w:lang w:val="en-US" w:eastAsia="zh-CN"/>
        </w:rPr>
        <w:t>本次授权</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之日终止，法律、行政法规、监管部门另有规定的除外。</w:t>
      </w:r>
    </w:p>
    <w:p w14:paraId="00CBA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 xml:space="preserve">3. </w:t>
      </w:r>
      <w:r>
        <w:rPr>
          <w:rFonts w:hint="eastAsia" w:asciiTheme="minorEastAsia" w:hAnsiTheme="minorEastAsia" w:eastAsiaTheme="minorEastAsia" w:cstheme="minorEastAsia"/>
          <w:b/>
          <w:bCs/>
          <w:sz w:val="24"/>
          <w:szCs w:val="24"/>
        </w:rPr>
        <w:t>如您为不满十四周岁的未成年人，</w:t>
      </w:r>
      <w:r>
        <w:rPr>
          <w:rFonts w:hint="eastAsia" w:asciiTheme="minorEastAsia" w:hAnsiTheme="minorEastAsia" w:cstheme="minorEastAsia"/>
          <w:b/>
          <w:bCs/>
          <w:sz w:val="24"/>
          <w:szCs w:val="24"/>
          <w:lang w:val="en-US" w:eastAsia="zh-CN"/>
        </w:rPr>
        <w:t>您的全部个人信息均为敏感个人信息。</w:t>
      </w:r>
      <w:r>
        <w:rPr>
          <w:rFonts w:hint="eastAsia" w:asciiTheme="minorEastAsia" w:hAnsiTheme="minorEastAsia" w:eastAsiaTheme="minorEastAsia" w:cstheme="minorEastAsia"/>
          <w:b/>
          <w:bCs/>
          <w:sz w:val="24"/>
          <w:szCs w:val="24"/>
        </w:rPr>
        <w:t>请您确认在父母或者其他监护人的陪同下阅读本授权书</w:t>
      </w:r>
      <w:r>
        <w:rPr>
          <w:rFonts w:hint="eastAsia" w:asciiTheme="minorEastAsia" w:hAnsiTheme="minorEastAsia" w:cstheme="minorEastAsia"/>
          <w:b/>
          <w:bCs/>
          <w:sz w:val="24"/>
          <w:szCs w:val="24"/>
          <w:lang w:val="en-US" w:eastAsia="zh-CN"/>
        </w:rPr>
        <w:t>以及《四川银行金盾卡持卡免费保险权益敏感个人信息处理授权书》</w:t>
      </w:r>
      <w:r>
        <w:rPr>
          <w:rFonts w:hint="eastAsia" w:asciiTheme="minorEastAsia" w:hAnsiTheme="minorEastAsia" w:eastAsiaTheme="minorEastAsia" w:cstheme="minorEastAsia"/>
          <w:b/>
          <w:bCs/>
          <w:sz w:val="24"/>
          <w:szCs w:val="24"/>
        </w:rPr>
        <w:t>。四川银行仅会在您的父母或者其他监护人同意情况下，为履行法定义务和本协议所必需，基于</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kern w:val="2"/>
          <w:sz w:val="24"/>
          <w:szCs w:val="24"/>
          <w:lang w:val="en-US" w:eastAsia="zh-CN"/>
        </w:rPr>
        <w:t>金盾</w:t>
      </w:r>
      <w:r>
        <w:rPr>
          <w:rFonts w:hint="eastAsia" w:asciiTheme="minorEastAsia" w:hAnsiTheme="minorEastAsia" w:eastAsiaTheme="minorEastAsia" w:cstheme="minorEastAsia"/>
          <w:b w:val="0"/>
          <w:bCs w:val="0"/>
          <w:color w:val="auto"/>
          <w:kern w:val="2"/>
          <w:sz w:val="24"/>
          <w:szCs w:val="24"/>
          <w:lang w:eastAsia="zh-CN"/>
        </w:rPr>
        <w:t>卡</w:t>
      </w:r>
      <w:r>
        <w:rPr>
          <w:rFonts w:hint="eastAsia" w:asciiTheme="minorEastAsia" w:hAnsiTheme="minorEastAsia" w:eastAsiaTheme="minorEastAsia" w:cstheme="minorEastAsia"/>
          <w:b w:val="0"/>
          <w:bCs w:val="0"/>
          <w:color w:val="auto"/>
          <w:kern w:val="2"/>
          <w:sz w:val="24"/>
          <w:szCs w:val="24"/>
          <w:lang w:val="en-US" w:eastAsia="zh-CN"/>
        </w:rPr>
        <w:t>持卡权益</w:t>
      </w:r>
      <w:r>
        <w:rPr>
          <w:rFonts w:hint="eastAsia" w:asciiTheme="minorEastAsia" w:hAnsiTheme="minorEastAsia" w:eastAsiaTheme="minorEastAsia" w:cstheme="minorEastAsia"/>
          <w:b w:val="0"/>
          <w:bCs w:val="0"/>
          <w:color w:val="auto"/>
          <w:kern w:val="2"/>
          <w:sz w:val="24"/>
          <w:szCs w:val="24"/>
        </w:rPr>
        <w:t>中为您提供免费保险权益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目的</w:t>
      </w:r>
      <w:r>
        <w:rPr>
          <w:rFonts w:hint="eastAsia" w:asciiTheme="minorEastAsia" w:hAnsiTheme="minorEastAsia" w:cstheme="minorEastAsia"/>
          <w:b/>
          <w:bCs/>
          <w:sz w:val="24"/>
          <w:szCs w:val="24"/>
          <w:lang w:val="en-US" w:eastAsia="zh-CN"/>
        </w:rPr>
        <w:t>对外提供</w:t>
      </w:r>
      <w:r>
        <w:rPr>
          <w:rFonts w:hint="eastAsia" w:asciiTheme="minorEastAsia" w:hAnsiTheme="minorEastAsia" w:eastAsiaTheme="minorEastAsia" w:cstheme="minorEastAsia"/>
          <w:b/>
          <w:bCs/>
          <w:sz w:val="24"/>
          <w:szCs w:val="24"/>
        </w:rPr>
        <w:t>您的必要</w:t>
      </w:r>
      <w:r>
        <w:rPr>
          <w:rFonts w:hint="eastAsia" w:asciiTheme="minorEastAsia" w:hAnsiTheme="minorEastAsia" w:cstheme="minorEastAsia"/>
          <w:b/>
          <w:bCs/>
          <w:sz w:val="24"/>
          <w:szCs w:val="24"/>
          <w:lang w:val="en-US" w:eastAsia="zh-CN"/>
        </w:rPr>
        <w:t>敏感</w:t>
      </w:r>
      <w:r>
        <w:rPr>
          <w:rFonts w:hint="eastAsia" w:asciiTheme="minorEastAsia" w:hAnsiTheme="minorEastAsia" w:eastAsiaTheme="minorEastAsia" w:cstheme="minorEastAsia"/>
          <w:b/>
          <w:bCs/>
          <w:sz w:val="24"/>
          <w:szCs w:val="24"/>
        </w:rPr>
        <w:t>个人信息。</w:t>
      </w:r>
    </w:p>
    <w:p w14:paraId="6041B85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.您理解并知悉，基于</w:t>
      </w:r>
      <w:r>
        <w:rPr>
          <w:rFonts w:hint="eastAsia" w:asciiTheme="minorEastAsia" w:hAnsiTheme="minorEastAsia" w:cstheme="minorEastAsia"/>
          <w:sz w:val="24"/>
          <w:szCs w:val="24"/>
          <w:lang w:val="en-US" w:eastAsia="zh-CN"/>
        </w:rPr>
        <w:t>金盾</w:t>
      </w:r>
      <w:r>
        <w:rPr>
          <w:rFonts w:hint="eastAsia" w:asciiTheme="minorEastAsia" w:hAnsiTheme="minorEastAsia" w:eastAsiaTheme="minorEastAsia" w:cstheme="minorEastAsia"/>
          <w:sz w:val="24"/>
          <w:szCs w:val="24"/>
          <w:lang w:val="en-US" w:eastAsia="zh-CN"/>
        </w:rPr>
        <w:t>卡持卡权益中【</w:t>
      </w:r>
      <w:r>
        <w:rPr>
          <w:rFonts w:hint="eastAsia" w:asciiTheme="minorEastAsia" w:hAnsiTheme="minorEastAsia" w:cstheme="minorEastAsia"/>
          <w:b/>
          <w:bCs/>
          <w:sz w:val="24"/>
          <w:szCs w:val="24"/>
          <w:lang w:val="en-US" w:eastAsia="zh-CN"/>
        </w:rPr>
        <w:t>免费保险权益</w:t>
      </w:r>
      <w:r>
        <w:rPr>
          <w:rFonts w:hint="eastAsia" w:asciiTheme="minorEastAsia" w:hAnsiTheme="minorEastAsia" w:eastAsiaTheme="minorEastAsia" w:cstheme="minorEastAsia"/>
          <w:sz w:val="24"/>
          <w:szCs w:val="24"/>
          <w:lang w:val="en-US" w:eastAsia="zh-CN"/>
        </w:rPr>
        <w:t>】服务的需要，四川银行需要向上述第三方机构提供您的个人信息。四川银行承诺与上述机构明确其保护信息安全的职责，并要求其承担相应的保密义务。</w:t>
      </w:r>
      <w:r>
        <w:rPr>
          <w:rFonts w:hint="eastAsia" w:asciiTheme="minorEastAsia" w:hAnsiTheme="minorEastAsia" w:eastAsiaTheme="minorEastAsia" w:cstheme="minorEastAsia"/>
          <w:b/>
          <w:bCs/>
          <w:sz w:val="24"/>
          <w:szCs w:val="24"/>
          <w:lang w:val="en-US" w:eastAsia="zh-CN"/>
        </w:rPr>
        <w:t>但您应充分了解，您同意四川银行向第三方机构提供您的个人信息，可能会增加个人信息泄露的风险，进而会对您的相关合法权益造成影响和危害。</w:t>
      </w:r>
    </w:p>
    <w:p w14:paraId="6EE61D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cstheme="minorEastAsia"/>
          <w:b/>
          <w:bCs/>
          <w:sz w:val="24"/>
        </w:rPr>
        <w:t>除法律法规另有规定外，四川银行如需对本授权书涉及您个人信息的处理内容进行调整，将</w:t>
      </w:r>
      <w:r>
        <w:rPr>
          <w:rFonts w:hint="eastAsia" w:asciiTheme="minorEastAsia" w:hAnsiTheme="minorEastAsia" w:cstheme="minorEastAsia"/>
          <w:b/>
          <w:bCs/>
          <w:sz w:val="24"/>
          <w:lang w:val="en-US" w:eastAsia="zh-CN"/>
        </w:rPr>
        <w:t>通过【</w:t>
      </w:r>
      <w:r>
        <w:rPr>
          <w:rFonts w:hint="eastAsia" w:asciiTheme="minorEastAsia" w:hAnsiTheme="minorEastAsia" w:eastAsiaTheme="minorEastAsia" w:cstheme="minorEastAsia"/>
          <w:b/>
          <w:bCs/>
          <w:color w:val="auto"/>
          <w:kern w:val="2"/>
          <w:sz w:val="24"/>
          <w:szCs w:val="24"/>
          <w:highlight w:val="none"/>
          <w:lang w:val="en-US" w:eastAsia="zh-CN" w:bidi="ar-SA"/>
        </w:rPr>
        <w:t>营业网点、官方网站或手机APP等有效渠道</w:t>
      </w:r>
      <w:r>
        <w:rPr>
          <w:rFonts w:hint="eastAsia" w:asciiTheme="minorEastAsia" w:hAnsiTheme="minorEastAsia" w:cstheme="minorEastAsia"/>
          <w:b/>
          <w:bCs/>
          <w:sz w:val="24"/>
          <w:lang w:val="en-US" w:eastAsia="zh-CN"/>
        </w:rPr>
        <w:t>】</w:t>
      </w:r>
      <w:r>
        <w:rPr>
          <w:rFonts w:hint="eastAsia" w:asciiTheme="minorEastAsia" w:hAnsiTheme="minorEastAsia" w:cstheme="minorEastAsia"/>
          <w:b/>
          <w:bCs/>
          <w:sz w:val="24"/>
        </w:rPr>
        <w:t>单独向您告知调整事项，并重新取得您的明确同意。您有权拒绝该等调整；如您拒绝，四川银行将停止相关服务及个人信息处理行为，但可能影响您继续使用【</w:t>
      </w:r>
      <w:r>
        <w:rPr>
          <w:rFonts w:hint="eastAsia" w:asciiTheme="minorEastAsia" w:hAnsiTheme="minorEastAsia" w:cstheme="minorEastAsia"/>
          <w:b/>
          <w:bCs/>
          <w:sz w:val="24"/>
          <w:szCs w:val="24"/>
          <w:lang w:val="en-US" w:eastAsia="zh-CN"/>
        </w:rPr>
        <w:t>免费保险权益</w:t>
      </w:r>
      <w:r>
        <w:rPr>
          <w:rFonts w:hint="eastAsia" w:asciiTheme="minorEastAsia" w:hAnsiTheme="minorEastAsia" w:cstheme="minorEastAsia"/>
          <w:b/>
          <w:bCs/>
          <w:sz w:val="24"/>
        </w:rPr>
        <w:t>】相关服务</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rPr>
        <w:t>调整内容将在获得您同意后施行。</w:t>
      </w:r>
    </w:p>
    <w:p w14:paraId="0EFAE5A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.对于您个人信息处理，敏感个人信息处理的相关事宜，详见《四川银行</w:t>
      </w:r>
      <w:r>
        <w:rPr>
          <w:rFonts w:hint="eastAsia" w:asciiTheme="minorEastAsia" w:hAnsiTheme="minorEastAsia" w:cstheme="minorEastAsia"/>
          <w:sz w:val="24"/>
          <w:szCs w:val="24"/>
          <w:lang w:val="en-US" w:eastAsia="zh-CN"/>
        </w:rPr>
        <w:t>金盾</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权益个人信息处理授权书》《四川银行</w:t>
      </w:r>
      <w:r>
        <w:rPr>
          <w:rFonts w:hint="eastAsia" w:asciiTheme="minorEastAsia" w:hAnsiTheme="minorEastAsia" w:cstheme="minorEastAsia"/>
          <w:sz w:val="24"/>
          <w:szCs w:val="24"/>
          <w:lang w:val="en-US" w:eastAsia="zh-CN"/>
        </w:rPr>
        <w:t>金盾</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权益敏感个人信息处理授权书》</w:t>
      </w:r>
      <w:r>
        <w:rPr>
          <w:rFonts w:hint="eastAsia" w:asciiTheme="minorEastAsia" w:hAnsiTheme="minorEastAsia" w:cstheme="minorEastAsia"/>
          <w:sz w:val="24"/>
          <w:szCs w:val="24"/>
          <w:lang w:eastAsia="zh-CN"/>
        </w:rPr>
        <w:t>《四川银行股份有限公司个人信息保护政策》《四川银行股份有限公司儿童个人信息保护规则》</w:t>
      </w:r>
      <w:r>
        <w:rPr>
          <w:rFonts w:hint="eastAsia" w:asciiTheme="minorEastAsia" w:hAnsiTheme="minorEastAsia" w:eastAsiaTheme="minorEastAsia" w:cstheme="minorEastAsia"/>
          <w:sz w:val="24"/>
          <w:szCs w:val="24"/>
        </w:rPr>
        <w:t>。前述文本</w:t>
      </w:r>
      <w:r>
        <w:rPr>
          <w:rFonts w:hint="eastAsia" w:asciiTheme="minorEastAsia" w:hAnsiTheme="minorEastAsia" w:cstheme="minorEastAsia"/>
          <w:sz w:val="24"/>
          <w:szCs w:val="24"/>
          <w:lang w:val="en-US" w:eastAsia="zh-CN"/>
        </w:rPr>
        <w:t>可</w:t>
      </w:r>
      <w:r>
        <w:rPr>
          <w:rFonts w:hint="eastAsia" w:asciiTheme="minorEastAsia" w:hAnsiTheme="minorEastAsia" w:eastAsiaTheme="minorEastAsia" w:cstheme="minorEastAsia"/>
          <w:sz w:val="24"/>
          <w:szCs w:val="24"/>
        </w:rPr>
        <w:t>通过营业网点、官方网站或手机APP等渠道</w:t>
      </w:r>
      <w:r>
        <w:rPr>
          <w:rFonts w:hint="eastAsia" w:asciiTheme="minorEastAsia" w:hAnsiTheme="minorEastAsia" w:cstheme="minorEastAsia"/>
          <w:sz w:val="24"/>
          <w:szCs w:val="24"/>
          <w:lang w:val="en-US" w:eastAsia="zh-CN"/>
        </w:rPr>
        <w:t>查询</w:t>
      </w:r>
      <w:r>
        <w:rPr>
          <w:rFonts w:hint="eastAsia" w:asciiTheme="minorEastAsia" w:hAnsiTheme="minorEastAsia" w:eastAsiaTheme="minorEastAsia" w:cstheme="minorEastAsia"/>
          <w:sz w:val="24"/>
          <w:szCs w:val="24"/>
        </w:rPr>
        <w:t>。</w:t>
      </w:r>
    </w:p>
    <w:p w14:paraId="1BB651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.如您对本授权书内容有任何疑问、意见或建议，可通过拨打96998（四川），400-10-96998（全国）客户服务与投诉热线与我们联系。</w:t>
      </w:r>
    </w:p>
    <w:p w14:paraId="3C40FB7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p>
    <w:p w14:paraId="53587BA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人声明：本人已仔细阅读上述所有条款，并已特别注意字体加黑的内容，四川银行已应本人要求对相关条款予以明确说明。本人对所有条款的含义及相应的法律后果已充分理解并同意，本授权书是本人真实的意思表示，并承诺所提供的资料、信息真实、准确、完整、合法、有效。本人自愿作出上述授权、承诺和声明。</w:t>
      </w:r>
    </w:p>
    <w:p w14:paraId="0843C863">
      <w:pPr>
        <w:widowControl/>
        <w:spacing w:line="360" w:lineRule="auto"/>
        <w:jc w:val="left"/>
        <w:rPr>
          <w:rFonts w:hint="eastAsia" w:ascii="微软雅黑" w:hAnsi="微软雅黑" w:eastAsia="微软雅黑" w:cs="微软雅黑"/>
          <w:color w:val="auto"/>
          <w:kern w:val="2"/>
          <w:sz w:val="24"/>
          <w:szCs w:val="24"/>
          <w:lang w:val="en-US" w:eastAsia="zh-CN" w:bidi="ar-SA"/>
        </w:rPr>
      </w:pPr>
      <w:r>
        <w:rPr>
          <w:rFonts w:hint="eastAsia" w:asciiTheme="minorEastAsia" w:hAnsiTheme="minorEastAsia" w:cstheme="minorEastAsia"/>
          <w:b/>
          <w:bCs/>
          <w:sz w:val="24"/>
          <w:szCs w:val="24"/>
          <w:lang w:val="en-US" w:eastAsia="zh-CN"/>
        </w:rPr>
        <w:t xml:space="preserve"> </w:t>
      </w:r>
      <w:r>
        <w:rPr>
          <w:rFonts w:hint="eastAsia" w:ascii="微软雅黑" w:hAnsi="微软雅黑" w:eastAsia="微软雅黑" w:cs="微软雅黑"/>
          <w:color w:val="auto"/>
          <w:kern w:val="2"/>
          <w:sz w:val="24"/>
          <w:szCs w:val="24"/>
          <w:lang w:val="en-US" w:eastAsia="zh-CN" w:bidi="ar-SA"/>
        </w:rPr>
        <w:t xml:space="preserve">  </w:t>
      </w:r>
    </w:p>
    <w:p w14:paraId="661D0F88">
      <w:pPr>
        <w:widowControl/>
        <w:spacing w:line="360" w:lineRule="auto"/>
        <w:jc w:val="left"/>
        <w:rPr>
          <w:rFonts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附件：</w:t>
      </w:r>
      <w:r>
        <w:rPr>
          <w:rFonts w:ascii="微软雅黑" w:hAnsi="微软雅黑" w:eastAsia="微软雅黑" w:cs="Arial"/>
          <w:b w:val="0"/>
          <w:bCs w:val="0"/>
          <w:color w:val="000000" w:themeColor="text1"/>
          <w:kern w:val="0"/>
          <w:szCs w:val="21"/>
          <w14:textFill>
            <w14:solidFill>
              <w14:schemeClr w14:val="tx1"/>
            </w14:solidFill>
          </w14:textFill>
        </w:rPr>
        <w:t>第三方机构名单</w:t>
      </w:r>
    </w:p>
    <w:tbl>
      <w:tblPr>
        <w:tblStyle w:val="4"/>
        <w:tblW w:w="46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89"/>
        <w:gridCol w:w="995"/>
        <w:gridCol w:w="2303"/>
        <w:gridCol w:w="1796"/>
      </w:tblGrid>
      <w:tr w14:paraId="310D9D6A">
        <w:tc>
          <w:tcPr>
            <w:tcW w:w="265" w:type="pct"/>
          </w:tcPr>
          <w:p w14:paraId="2E3F397D">
            <w:pPr>
              <w:widowControl/>
              <w:spacing w:line="240" w:lineRule="auto"/>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bookmarkStart w:id="0" w:name="table001"/>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序号</w:t>
            </w:r>
          </w:p>
        </w:tc>
        <w:tc>
          <w:tcPr>
            <w:tcW w:w="1554" w:type="pct"/>
          </w:tcPr>
          <w:p w14:paraId="00144D83">
            <w:pPr>
              <w:widowControl/>
              <w:spacing w:line="240" w:lineRule="auto"/>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公司名称</w:t>
            </w:r>
          </w:p>
        </w:tc>
        <w:tc>
          <w:tcPr>
            <w:tcW w:w="621" w:type="pct"/>
          </w:tcPr>
          <w:p w14:paraId="6145B88D">
            <w:pPr>
              <w:widowControl/>
              <w:spacing w:line="240" w:lineRule="auto"/>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t>客服热线</w:t>
            </w:r>
          </w:p>
        </w:tc>
        <w:tc>
          <w:tcPr>
            <w:tcW w:w="1437" w:type="pct"/>
          </w:tcPr>
          <w:p w14:paraId="089C37F6">
            <w:pPr>
              <w:widowControl/>
              <w:spacing w:line="240" w:lineRule="auto"/>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提供</w:t>
            </w:r>
            <w:r>
              <w:rPr>
                <w:rFonts w:ascii="微软雅黑" w:hAnsi="微软雅黑" w:eastAsia="微软雅黑" w:cs="Arial"/>
                <w:b w:val="0"/>
                <w:bCs w:val="0"/>
                <w:color w:val="000000" w:themeColor="text1"/>
                <w:kern w:val="0"/>
                <w:szCs w:val="21"/>
                <w14:textFill>
                  <w14:solidFill>
                    <w14:schemeClr w14:val="tx1"/>
                  </w14:solidFill>
                </w14:textFill>
              </w:rPr>
              <w:t>个人信息种类</w:t>
            </w:r>
          </w:p>
        </w:tc>
        <w:tc>
          <w:tcPr>
            <w:tcW w:w="1121" w:type="pct"/>
            <w:vAlign w:val="top"/>
          </w:tcPr>
          <w:p w14:paraId="5A3D7C94">
            <w:pPr>
              <w:widowControl/>
              <w:spacing w:line="240" w:lineRule="auto"/>
              <w:jc w:val="center"/>
              <w:rPr>
                <w:rFonts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提供服务时间</w:t>
            </w:r>
          </w:p>
        </w:tc>
      </w:tr>
      <w:tr w14:paraId="074933E0">
        <w:trPr>
          <w:trHeight w:val="1680" w:hRule="atLeast"/>
        </w:trPr>
        <w:tc>
          <w:tcPr>
            <w:tcW w:w="265" w:type="pct"/>
            <w:vAlign w:val="top"/>
          </w:tcPr>
          <w:p w14:paraId="1A557A40">
            <w:pPr>
              <w:widowControl/>
              <w:spacing w:line="240" w:lineRule="auto"/>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 w:val="21"/>
                <w:szCs w:val="21"/>
                <w:vertAlign w:val="baseline"/>
                <w:lang w:val="en-US" w:eastAsia="zh-CN"/>
                <w14:textFill>
                  <w14:solidFill>
                    <w14:schemeClr w14:val="tx1"/>
                  </w14:solidFill>
                </w14:textFill>
              </w:rPr>
              <w:t>1</w:t>
            </w:r>
          </w:p>
        </w:tc>
        <w:tc>
          <w:tcPr>
            <w:tcW w:w="1554" w:type="pct"/>
            <w:vAlign w:val="top"/>
          </w:tcPr>
          <w:p w14:paraId="49491B93">
            <w:pPr>
              <w:widowControl/>
              <w:spacing w:line="240" w:lineRule="auto"/>
              <w:jc w:val="cente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 w:val="21"/>
                <w:szCs w:val="21"/>
                <w14:textFill>
                  <w14:solidFill>
                    <w14:schemeClr w14:val="tx1"/>
                  </w14:solidFill>
                </w14:textFill>
              </w:rPr>
              <w:t>中国太平洋财产保险股份有限公司</w:t>
            </w:r>
            <w:r>
              <w:rPr>
                <w:rFonts w:hint="eastAsia" w:ascii="微软雅黑" w:hAnsi="微软雅黑" w:eastAsia="微软雅黑" w:cs="Arial"/>
                <w:b w:val="0"/>
                <w:bCs w:val="0"/>
                <w:color w:val="000000" w:themeColor="text1"/>
                <w:kern w:val="0"/>
                <w:sz w:val="21"/>
                <w:szCs w:val="21"/>
                <w:lang w:eastAsia="zh-CN"/>
                <w14:textFill>
                  <w14:solidFill>
                    <w14:schemeClr w14:val="tx1"/>
                  </w14:solidFill>
                </w14:textFill>
              </w:rPr>
              <w:t>四川分公司</w:t>
            </w:r>
          </w:p>
        </w:tc>
        <w:tc>
          <w:tcPr>
            <w:tcW w:w="621" w:type="pct"/>
            <w:vAlign w:val="top"/>
          </w:tcPr>
          <w:p w14:paraId="0ED26C2F">
            <w:pPr>
              <w:widowControl/>
              <w:spacing w:line="240" w:lineRule="auto"/>
              <w:jc w:val="center"/>
              <w:rPr>
                <w:rFonts w:hint="default"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r>
              <w:rPr>
                <w:rFonts w:hint="eastAsia" w:ascii="微软雅黑" w:hAnsi="微软雅黑" w:eastAsia="微软雅黑" w:cs="Arial"/>
                <w:b w:val="0"/>
                <w:bCs w:val="0"/>
                <w:color w:val="000000" w:themeColor="text1"/>
                <w:kern w:val="0"/>
                <w:sz w:val="21"/>
                <w:szCs w:val="21"/>
                <w14:textFill>
                  <w14:solidFill>
                    <w14:schemeClr w14:val="tx1"/>
                  </w14:solidFill>
                </w14:textFill>
              </w:rPr>
              <w:t>95500</w:t>
            </w:r>
          </w:p>
        </w:tc>
        <w:tc>
          <w:tcPr>
            <w:tcW w:w="1437" w:type="pct"/>
            <w:vAlign w:val="top"/>
          </w:tcPr>
          <w:p w14:paraId="2F2B5053">
            <w:pPr>
              <w:widowControl/>
              <w:jc w:val="center"/>
              <w:rPr>
                <w:rFonts w:hint="eastAsia" w:ascii="微软雅黑" w:hAnsi="微软雅黑" w:eastAsia="微软雅黑" w:cs="Arial"/>
                <w:color w:val="000000" w:themeColor="text1"/>
                <w:kern w:val="0"/>
                <w:szCs w:val="21"/>
                <w14:textFill>
                  <w14:solidFill>
                    <w14:schemeClr w14:val="tx1"/>
                  </w14:solidFill>
                </w14:textFill>
              </w:rPr>
            </w:pPr>
            <w:r>
              <w:rPr>
                <w:rFonts w:hint="eastAsia" w:ascii="微软雅黑" w:hAnsi="微软雅黑" w:eastAsia="微软雅黑" w:cs="Arial"/>
                <w:color w:val="000000" w:themeColor="text1"/>
                <w:kern w:val="0"/>
                <w:szCs w:val="21"/>
                <w14:textFill>
                  <w14:solidFill>
                    <w14:schemeClr w14:val="tx1"/>
                  </w14:solidFill>
                </w14:textFill>
              </w:rPr>
              <w:t>姓名</w:t>
            </w:r>
            <w:r>
              <w:rPr>
                <w:rFonts w:hint="eastAsia" w:ascii="微软雅黑" w:hAnsi="微软雅黑" w:eastAsia="微软雅黑" w:cs="Arial"/>
                <w:color w:val="000000" w:themeColor="text1"/>
                <w:kern w:val="0"/>
                <w:szCs w:val="21"/>
                <w:lang w:eastAsia="zh-CN"/>
                <w14:textFill>
                  <w14:solidFill>
                    <w14:schemeClr w14:val="tx1"/>
                  </w14:solidFill>
                </w14:textFill>
              </w:rPr>
              <w:t>、</w:t>
            </w:r>
            <w:r>
              <w:rPr>
                <w:rFonts w:hint="eastAsia" w:ascii="微软雅黑" w:hAnsi="微软雅黑" w:eastAsia="微软雅黑" w:cs="Arial"/>
                <w:color w:val="000000" w:themeColor="text1"/>
                <w:kern w:val="0"/>
                <w:szCs w:val="21"/>
                <w14:textFill>
                  <w14:solidFill>
                    <w14:schemeClr w14:val="tx1"/>
                  </w14:solidFill>
                </w14:textFill>
              </w:rPr>
              <w:t>证件类型、证件号码</w:t>
            </w:r>
            <w:r>
              <w:rPr>
                <w:rFonts w:hint="eastAsia" w:ascii="微软雅黑" w:hAnsi="微软雅黑" w:eastAsia="微软雅黑" w:cs="Arial"/>
                <w:color w:val="000000" w:themeColor="text1"/>
                <w:kern w:val="0"/>
                <w:szCs w:val="21"/>
                <w:lang w:eastAsia="zh-CN"/>
                <w14:textFill>
                  <w14:solidFill>
                    <w14:schemeClr w14:val="tx1"/>
                  </w14:solidFill>
                </w14:textFill>
              </w:rPr>
              <w:t>、</w:t>
            </w:r>
            <w:r>
              <w:rPr>
                <w:rFonts w:hint="eastAsia" w:ascii="微软雅黑" w:hAnsi="微软雅黑" w:eastAsia="微软雅黑" w:cs="Arial"/>
                <w:color w:val="000000" w:themeColor="text1"/>
                <w:kern w:val="0"/>
                <w:szCs w:val="21"/>
                <w14:textFill>
                  <w14:solidFill>
                    <w14:schemeClr w14:val="tx1"/>
                  </w14:solidFill>
                </w14:textFill>
              </w:rPr>
              <w:t>手机号码</w:t>
            </w:r>
          </w:p>
          <w:p w14:paraId="3297FC0A">
            <w:pPr>
              <w:widowControl/>
              <w:spacing w:line="240" w:lineRule="auto"/>
              <w:jc w:val="center"/>
              <w:rPr>
                <w:rFonts w:hint="eastAsia" w:ascii="微软雅黑" w:hAnsi="微软雅黑" w:eastAsia="微软雅黑" w:cs="Arial"/>
                <w:b w:val="0"/>
                <w:bCs w:val="0"/>
                <w:color w:val="000000" w:themeColor="text1"/>
                <w:kern w:val="0"/>
                <w:szCs w:val="21"/>
                <w:vertAlign w:val="baseline"/>
                <w:lang w:val="en-US" w:eastAsia="zh-CN"/>
                <w14:textFill>
                  <w14:solidFill>
                    <w14:schemeClr w14:val="tx1"/>
                  </w14:solidFill>
                </w14:textFill>
              </w:rPr>
            </w:pPr>
          </w:p>
        </w:tc>
        <w:tc>
          <w:tcPr>
            <w:tcW w:w="1121" w:type="pct"/>
            <w:vAlign w:val="top"/>
          </w:tcPr>
          <w:p w14:paraId="0886EC06">
            <w:pPr>
              <w:widowControl/>
              <w:spacing w:line="240" w:lineRule="auto"/>
              <w:jc w:val="center"/>
              <w:rPr>
                <w:rFonts w:hint="eastAsia" w:ascii="微软雅黑" w:hAnsi="微软雅黑" w:eastAsia="微软雅黑" w:cs="Arial"/>
                <w:b w:val="0"/>
                <w:bCs w:val="0"/>
                <w:color w:val="000000" w:themeColor="text1"/>
                <w:kern w:val="0"/>
                <w:szCs w:val="21"/>
                <w14:textFill>
                  <w14:solidFill>
                    <w14:schemeClr w14:val="tx1"/>
                  </w14:solidFill>
                </w14:textFill>
              </w:rPr>
            </w:pPr>
            <w:r>
              <w:rPr>
                <w:rFonts w:hint="eastAsia" w:ascii="微软雅黑" w:hAnsi="微软雅黑" w:eastAsia="微软雅黑" w:cs="Arial"/>
                <w:b w:val="0"/>
                <w:bCs w:val="0"/>
                <w:color w:val="000000" w:themeColor="text1"/>
                <w:kern w:val="0"/>
                <w:szCs w:val="21"/>
                <w:lang w:val="en-US" w:eastAsia="zh-CN"/>
                <w14:textFill>
                  <w14:solidFill>
                    <w14:schemeClr w14:val="tx1"/>
                  </w14:solidFill>
                </w14:textFill>
              </w:rPr>
              <w:t>2026年</w:t>
            </w:r>
          </w:p>
        </w:tc>
      </w:tr>
      <w:bookmarkEnd w:id="0"/>
    </w:tbl>
    <w:p w14:paraId="6E7423EC">
      <w:pPr>
        <w:pStyle w:val="6"/>
        <w:keepNext w:val="0"/>
        <w:keepLines w:val="0"/>
        <w:pageBreakBefore w:val="0"/>
        <w:widowControl/>
        <w:suppressLineNumbers w:val="0"/>
        <w:kinsoku/>
        <w:wordWrap/>
        <w:overflowPunct/>
        <w:topLinePunct w:val="0"/>
        <w:autoSpaceDE/>
        <w:autoSpaceDN/>
        <w:bidi w:val="0"/>
        <w:adjustRightInd/>
        <w:snapToGrid/>
        <w:spacing w:line="360" w:lineRule="auto"/>
        <w:ind w:firstLine="4320" w:firstLineChars="1800"/>
        <w:jc w:val="left"/>
        <w:textAlignment w:val="auto"/>
        <w:rPr>
          <w:rFonts w:hint="default"/>
          <w:b/>
          <w:bCs/>
          <w:sz w:val="24"/>
          <w:szCs w:val="24"/>
          <w:lang w:val="en-US"/>
        </w:rPr>
      </w:pPr>
      <w:r>
        <w:rPr>
          <w:rFonts w:hint="eastAsia" w:ascii="微软雅黑" w:hAnsi="微软雅黑" w:eastAsia="微软雅黑" w:cs="微软雅黑"/>
          <w:color w:val="auto"/>
          <w:kern w:val="2"/>
          <w:sz w:val="24"/>
          <w:szCs w:val="24"/>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ECF57"/>
    <w:rsid w:val="004B6E07"/>
    <w:rsid w:val="2DBF17DB"/>
    <w:rsid w:val="2E763799"/>
    <w:rsid w:val="30451129"/>
    <w:rsid w:val="3C2E722D"/>
    <w:rsid w:val="3D73C529"/>
    <w:rsid w:val="3DCE09B4"/>
    <w:rsid w:val="3DFF87EE"/>
    <w:rsid w:val="3EFF43AD"/>
    <w:rsid w:val="3FBF72BE"/>
    <w:rsid w:val="46C03FD8"/>
    <w:rsid w:val="5FF9938E"/>
    <w:rsid w:val="669C26AD"/>
    <w:rsid w:val="6BBFA093"/>
    <w:rsid w:val="6FBB50C2"/>
    <w:rsid w:val="6FEFF892"/>
    <w:rsid w:val="737D52E4"/>
    <w:rsid w:val="73FF9A67"/>
    <w:rsid w:val="77565747"/>
    <w:rsid w:val="777F4C3A"/>
    <w:rsid w:val="77DF3646"/>
    <w:rsid w:val="7BBF996E"/>
    <w:rsid w:val="7D1ECF57"/>
    <w:rsid w:val="7DFFB6BD"/>
    <w:rsid w:val="7EAF4D12"/>
    <w:rsid w:val="7EEEC264"/>
    <w:rsid w:val="7F7F97C5"/>
    <w:rsid w:val="7F8E8EFB"/>
    <w:rsid w:val="7FEC9EA1"/>
    <w:rsid w:val="7FFB677D"/>
    <w:rsid w:val="9EBCDB1E"/>
    <w:rsid w:val="9F3F6AD4"/>
    <w:rsid w:val="A7ED48D1"/>
    <w:rsid w:val="B05BA508"/>
    <w:rsid w:val="B9F21F15"/>
    <w:rsid w:val="BB772ADF"/>
    <w:rsid w:val="BBDC7165"/>
    <w:rsid w:val="BDBF3F0E"/>
    <w:rsid w:val="BEDD7471"/>
    <w:rsid w:val="BEFF07D6"/>
    <w:rsid w:val="BFEC6D34"/>
    <w:rsid w:val="DE66C37F"/>
    <w:rsid w:val="DFEEC1A7"/>
    <w:rsid w:val="EF632036"/>
    <w:rsid w:val="EF7B38C3"/>
    <w:rsid w:val="F3DF8DB3"/>
    <w:rsid w:val="F78FABDB"/>
    <w:rsid w:val="FDEFE289"/>
    <w:rsid w:val="FF9D72BD"/>
    <w:rsid w:val="FFBAC8F5"/>
    <w:rsid w:val="FFF710B0"/>
    <w:rsid w:val="FFFBE705"/>
    <w:rsid w:val="FFFD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2026-04-29T23:44:00Z</dcterms:created>
  <dc:creator>QK-zx</dc:creator>
  <cp:lastModifiedBy>MELODY PP</cp:lastModifiedBy>
  <dcterms:modified xsi:type="dcterms:W3CDTF">2026-07-06T10:42:43Z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D44212C71CA28B6F23164B6A694D5C3E_43</vt:lpwstr>
  </property>
</Properties>
</file>