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9DD75E">
      <w:pPr>
        <w:rPr>
          <w:sz w:val="48"/>
        </w:rPr>
      </w:pPr>
    </w:p>
    <w:p w14:paraId="6FBDEDDE">
      <w:pPr>
        <w:rPr>
          <w:sz w:val="48"/>
        </w:rPr>
      </w:pPr>
    </w:p>
    <w:p w14:paraId="54224E45">
      <w:pPr>
        <w:jc w:val="center"/>
        <w:rPr>
          <w:rFonts w:ascii="宋体" w:hAnsi="宋体"/>
          <w:b/>
          <w:bCs/>
          <w:sz w:val="48"/>
          <w:szCs w:val="30"/>
        </w:rPr>
      </w:pPr>
      <w:r>
        <w:rPr>
          <w:rFonts w:ascii="宋体" w:hAnsi="宋体"/>
          <w:b/>
          <w:bCs/>
          <w:sz w:val="48"/>
          <w:szCs w:val="30"/>
        </w:rPr>
        <w:t>四川银行定开系列1个月2号净值型理财产品</w:t>
      </w:r>
    </w:p>
    <w:p w14:paraId="1ED702EB">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75C80FBB">
      <w:pPr>
        <w:jc w:val="center"/>
        <w:rPr>
          <w:rFonts w:ascii="宋体" w:hAnsi="宋体"/>
          <w:b/>
          <w:bCs/>
          <w:sz w:val="28"/>
          <w:szCs w:val="30"/>
        </w:rPr>
      </w:pPr>
    </w:p>
    <w:p w14:paraId="2BBF95D3">
      <w:pPr>
        <w:jc w:val="center"/>
        <w:rPr>
          <w:rFonts w:ascii="宋体" w:hAnsi="宋体"/>
          <w:sz w:val="28"/>
          <w:szCs w:val="30"/>
        </w:rPr>
      </w:pPr>
    </w:p>
    <w:p w14:paraId="3661DF9A">
      <w:pPr>
        <w:jc w:val="center"/>
        <w:rPr>
          <w:rFonts w:ascii="宋体" w:hAnsi="宋体"/>
          <w:sz w:val="28"/>
          <w:szCs w:val="30"/>
        </w:rPr>
      </w:pPr>
    </w:p>
    <w:p w14:paraId="7A2671B6">
      <w:pPr>
        <w:jc w:val="center"/>
        <w:rPr>
          <w:rFonts w:ascii="宋体" w:hAnsi="宋体"/>
          <w:sz w:val="28"/>
          <w:szCs w:val="30"/>
        </w:rPr>
      </w:pPr>
    </w:p>
    <w:p w14:paraId="19165F41">
      <w:pPr>
        <w:jc w:val="center"/>
        <w:rPr>
          <w:rFonts w:ascii="宋体" w:hAnsi="宋体"/>
          <w:sz w:val="28"/>
          <w:szCs w:val="30"/>
        </w:rPr>
      </w:pPr>
    </w:p>
    <w:p w14:paraId="66336C21">
      <w:pPr>
        <w:jc w:val="center"/>
        <w:rPr>
          <w:rFonts w:ascii="宋体" w:hAnsi="宋体"/>
          <w:sz w:val="28"/>
          <w:szCs w:val="30"/>
        </w:rPr>
      </w:pPr>
    </w:p>
    <w:p w14:paraId="5692E1EA">
      <w:pPr>
        <w:jc w:val="center"/>
        <w:rPr>
          <w:rFonts w:ascii="宋体" w:hAnsi="宋体"/>
          <w:sz w:val="28"/>
          <w:szCs w:val="30"/>
        </w:rPr>
      </w:pPr>
    </w:p>
    <w:p w14:paraId="7FE2B479">
      <w:pPr>
        <w:jc w:val="center"/>
        <w:rPr>
          <w:rFonts w:ascii="宋体" w:hAnsi="宋体"/>
          <w:sz w:val="28"/>
          <w:szCs w:val="30"/>
        </w:rPr>
      </w:pPr>
    </w:p>
    <w:p w14:paraId="16E2722A">
      <w:pPr>
        <w:jc w:val="center"/>
        <w:rPr>
          <w:rFonts w:ascii="宋体" w:hAnsi="宋体"/>
          <w:sz w:val="28"/>
          <w:szCs w:val="30"/>
        </w:rPr>
      </w:pPr>
    </w:p>
    <w:p w14:paraId="5D333EB6">
      <w:pPr>
        <w:jc w:val="center"/>
        <w:rPr>
          <w:rFonts w:ascii="宋体" w:hAnsi="宋体"/>
          <w:sz w:val="28"/>
          <w:szCs w:val="30"/>
        </w:rPr>
      </w:pPr>
    </w:p>
    <w:p w14:paraId="645FB51C">
      <w:pPr>
        <w:jc w:val="center"/>
        <w:rPr>
          <w:rFonts w:ascii="宋体" w:hAnsi="宋体"/>
          <w:sz w:val="28"/>
          <w:szCs w:val="30"/>
        </w:rPr>
      </w:pPr>
    </w:p>
    <w:p w14:paraId="4ECDF15D">
      <w:pPr>
        <w:jc w:val="center"/>
        <w:rPr>
          <w:rFonts w:ascii="宋体" w:hAnsi="宋体"/>
          <w:sz w:val="28"/>
          <w:szCs w:val="30"/>
        </w:rPr>
      </w:pPr>
    </w:p>
    <w:p w14:paraId="1428AB08">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D8B572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C7EEA6F">
      <w:pPr>
        <w:ind w:firstLine="1680" w:firstLineChars="600"/>
        <w:jc w:val="left"/>
        <w:rPr>
          <w:rFonts w:ascii="宋体" w:hAnsi="宋体"/>
          <w:sz w:val="28"/>
          <w:szCs w:val="30"/>
        </w:rPr>
      </w:pPr>
    </w:p>
    <w:p w14:paraId="2109B888">
      <w:pPr>
        <w:ind w:firstLine="1680" w:firstLineChars="600"/>
        <w:jc w:val="left"/>
        <w:rPr>
          <w:rFonts w:ascii="宋体" w:hAnsi="宋体"/>
          <w:sz w:val="28"/>
          <w:szCs w:val="30"/>
        </w:rPr>
      </w:pPr>
    </w:p>
    <w:p w14:paraId="4E8D2B01">
      <w:pPr>
        <w:ind w:firstLine="1680" w:firstLineChars="600"/>
        <w:jc w:val="left"/>
        <w:rPr>
          <w:rFonts w:ascii="宋体" w:hAnsi="宋体"/>
          <w:sz w:val="28"/>
          <w:szCs w:val="30"/>
        </w:rPr>
      </w:pPr>
    </w:p>
    <w:p w14:paraId="465DB818">
      <w:pPr>
        <w:rPr>
          <w:rFonts w:ascii="宋体" w:hAnsi="宋体"/>
          <w:sz w:val="28"/>
          <w:szCs w:val="30"/>
        </w:rPr>
      </w:pPr>
    </w:p>
    <w:p w14:paraId="6CCC169A">
      <w:pPr>
        <w:jc w:val="center"/>
        <w:rPr>
          <w:rFonts w:ascii="宋体" w:hAnsi="宋体"/>
          <w:b/>
          <w:bCs/>
          <w:sz w:val="28"/>
          <w:szCs w:val="30"/>
        </w:rPr>
      </w:pPr>
    </w:p>
    <w:p w14:paraId="0FB25A23">
      <w:pPr>
        <w:jc w:val="center"/>
        <w:rPr>
          <w:rFonts w:ascii="宋体" w:hAnsi="宋体"/>
          <w:b/>
          <w:bCs/>
          <w:sz w:val="28"/>
          <w:szCs w:val="30"/>
        </w:rPr>
      </w:pPr>
      <w:r>
        <w:rPr>
          <w:rFonts w:hint="eastAsia" w:ascii="宋体" w:hAnsi="宋体"/>
          <w:b/>
          <w:bCs/>
          <w:sz w:val="28"/>
          <w:szCs w:val="30"/>
        </w:rPr>
        <w:t>重要提示</w:t>
      </w:r>
    </w:p>
    <w:p w14:paraId="105CD3BE">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CCE293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DB066C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0244B1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039F1A0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EB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C3929C">
            <w:pPr>
              <w:jc w:val="left"/>
              <w:rPr>
                <w:rFonts w:ascii="宋体" w:hAnsi="宋体"/>
                <w:b/>
                <w:szCs w:val="21"/>
              </w:rPr>
            </w:pPr>
            <w:r>
              <w:rPr>
                <w:rFonts w:hint="eastAsia" w:ascii="宋体" w:hAnsi="宋体"/>
                <w:b/>
                <w:szCs w:val="21"/>
              </w:rPr>
              <w:t>项目</w:t>
            </w:r>
          </w:p>
        </w:tc>
        <w:tc>
          <w:tcPr>
            <w:tcW w:w="5027" w:type="dxa"/>
            <w:vAlign w:val="center"/>
          </w:tcPr>
          <w:p w14:paraId="322D3D92">
            <w:pPr>
              <w:jc w:val="left"/>
              <w:rPr>
                <w:rFonts w:ascii="宋体" w:hAnsi="宋体"/>
                <w:b/>
              </w:rPr>
            </w:pPr>
            <w:r>
              <w:rPr>
                <w:rFonts w:hint="eastAsia" w:ascii="宋体" w:hAnsi="宋体"/>
                <w:b/>
              </w:rPr>
              <w:t>信息</w:t>
            </w:r>
          </w:p>
        </w:tc>
      </w:tr>
      <w:tr w14:paraId="5A34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19D98D">
            <w:pPr>
              <w:jc w:val="left"/>
              <w:rPr>
                <w:rFonts w:hint="eastAsia" w:ascii="宋体" w:hAnsi="宋体"/>
                <w:szCs w:val="21"/>
              </w:rPr>
            </w:pPr>
            <w:r>
              <w:rPr>
                <w:rFonts w:hint="eastAsia" w:ascii="宋体" w:hAnsi="宋体"/>
                <w:szCs w:val="21"/>
              </w:rPr>
              <w:t>产品名称</w:t>
            </w:r>
          </w:p>
        </w:tc>
        <w:tc>
          <w:tcPr>
            <w:tcW w:w="5027" w:type="dxa"/>
            <w:vAlign w:val="center"/>
          </w:tcPr>
          <w:p w14:paraId="47C6B2A1">
            <w:pPr>
              <w:jc w:val="left"/>
              <w:rPr>
                <w:rFonts w:hint="eastAsia" w:ascii="宋体" w:hAnsi="宋体"/>
              </w:rPr>
            </w:pPr>
            <w:r>
              <w:rPr>
                <w:rFonts w:hint="eastAsia" w:ascii="宋体" w:hAnsi="宋体"/>
              </w:rPr>
              <w:t>四川银行定开系列1个月2号净值型理财产品</w:t>
            </w:r>
          </w:p>
        </w:tc>
      </w:tr>
      <w:tr w14:paraId="3853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0DD5AD">
            <w:pPr>
              <w:jc w:val="left"/>
              <w:rPr>
                <w:rFonts w:hint="eastAsia" w:ascii="宋体" w:hAnsi="宋体"/>
                <w:szCs w:val="21"/>
              </w:rPr>
            </w:pPr>
            <w:r>
              <w:rPr>
                <w:rFonts w:hint="eastAsia" w:ascii="宋体" w:hAnsi="宋体"/>
                <w:szCs w:val="21"/>
              </w:rPr>
              <w:t>产品登记编码</w:t>
            </w:r>
          </w:p>
        </w:tc>
        <w:tc>
          <w:tcPr>
            <w:tcW w:w="5027" w:type="dxa"/>
            <w:vAlign w:val="center"/>
          </w:tcPr>
          <w:p w14:paraId="68817657">
            <w:pPr>
              <w:jc w:val="left"/>
              <w:rPr>
                <w:rFonts w:hint="eastAsia" w:ascii="宋体" w:hAnsi="宋体"/>
              </w:rPr>
            </w:pPr>
            <w:r>
              <w:rPr>
                <w:rFonts w:hint="eastAsia" w:ascii="宋体" w:hAnsi="宋体"/>
              </w:rPr>
              <w:t>C1438122000071</w:t>
            </w:r>
          </w:p>
        </w:tc>
      </w:tr>
      <w:tr w14:paraId="22ED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B4E620">
            <w:pPr>
              <w:jc w:val="left"/>
              <w:rPr>
                <w:rFonts w:hint="eastAsia" w:ascii="宋体" w:hAnsi="宋体"/>
                <w:szCs w:val="21"/>
              </w:rPr>
            </w:pPr>
            <w:r>
              <w:rPr>
                <w:rFonts w:hint="eastAsia" w:ascii="宋体" w:hAnsi="宋体"/>
                <w:szCs w:val="21"/>
              </w:rPr>
              <w:t>产品管理人</w:t>
            </w:r>
          </w:p>
        </w:tc>
        <w:tc>
          <w:tcPr>
            <w:tcW w:w="5027" w:type="dxa"/>
            <w:vAlign w:val="center"/>
          </w:tcPr>
          <w:p w14:paraId="20A19074">
            <w:pPr>
              <w:jc w:val="left"/>
              <w:rPr>
                <w:rFonts w:hint="eastAsia" w:ascii="宋体" w:hAnsi="宋体"/>
              </w:rPr>
            </w:pPr>
            <w:r>
              <w:rPr>
                <w:rFonts w:hint="eastAsia" w:ascii="宋体" w:hAnsi="宋体"/>
              </w:rPr>
              <w:t>四川银行股份有限公司</w:t>
            </w:r>
          </w:p>
        </w:tc>
      </w:tr>
      <w:tr w14:paraId="43B5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162C52">
            <w:pPr>
              <w:jc w:val="left"/>
              <w:rPr>
                <w:rFonts w:hint="eastAsia" w:ascii="宋体" w:hAnsi="宋体"/>
                <w:szCs w:val="21"/>
              </w:rPr>
            </w:pPr>
            <w:r>
              <w:rPr>
                <w:rFonts w:hint="eastAsia" w:ascii="宋体" w:hAnsi="宋体"/>
                <w:szCs w:val="21"/>
              </w:rPr>
              <w:t>产品托管人</w:t>
            </w:r>
          </w:p>
        </w:tc>
        <w:tc>
          <w:tcPr>
            <w:tcW w:w="5027" w:type="dxa"/>
            <w:vAlign w:val="center"/>
          </w:tcPr>
          <w:p w14:paraId="577B7098">
            <w:pPr>
              <w:jc w:val="left"/>
              <w:rPr>
                <w:rFonts w:hint="eastAsia" w:ascii="宋体" w:hAnsi="宋体"/>
              </w:rPr>
            </w:pPr>
            <w:r>
              <w:rPr>
                <w:rFonts w:hint="eastAsia" w:ascii="宋体" w:hAnsi="宋体"/>
              </w:rPr>
              <w:t>招商银行股份有限公司成都分行</w:t>
            </w:r>
          </w:p>
        </w:tc>
      </w:tr>
      <w:tr w14:paraId="3F66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F2CF92">
            <w:pPr>
              <w:jc w:val="left"/>
              <w:rPr>
                <w:rFonts w:hint="eastAsia" w:ascii="宋体" w:hAnsi="宋体"/>
                <w:szCs w:val="21"/>
              </w:rPr>
            </w:pPr>
            <w:r>
              <w:rPr>
                <w:rFonts w:hint="eastAsia" w:ascii="宋体" w:hAnsi="宋体"/>
                <w:szCs w:val="21"/>
              </w:rPr>
              <w:t>产品运作方式</w:t>
            </w:r>
          </w:p>
        </w:tc>
        <w:tc>
          <w:tcPr>
            <w:tcW w:w="5027" w:type="dxa"/>
            <w:vAlign w:val="center"/>
          </w:tcPr>
          <w:p w14:paraId="5E7C4F2D">
            <w:pPr>
              <w:jc w:val="left"/>
              <w:rPr>
                <w:rFonts w:hint="eastAsia" w:ascii="宋体" w:hAnsi="宋体"/>
              </w:rPr>
            </w:pPr>
            <w:r>
              <w:rPr>
                <w:rFonts w:hint="eastAsia" w:ascii="宋体" w:hAnsi="宋体"/>
              </w:rPr>
              <w:t>公募定期开放式净值型</w:t>
            </w:r>
          </w:p>
        </w:tc>
      </w:tr>
      <w:tr w14:paraId="056A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68FA4F">
            <w:pPr>
              <w:jc w:val="left"/>
              <w:rPr>
                <w:rFonts w:hint="eastAsia" w:ascii="宋体" w:hAnsi="宋体"/>
                <w:szCs w:val="21"/>
              </w:rPr>
            </w:pPr>
            <w:r>
              <w:rPr>
                <w:rFonts w:hint="eastAsia" w:ascii="宋体" w:hAnsi="宋体"/>
                <w:szCs w:val="21"/>
              </w:rPr>
              <w:t>产品成立日</w:t>
            </w:r>
          </w:p>
        </w:tc>
        <w:tc>
          <w:tcPr>
            <w:tcW w:w="5027" w:type="dxa"/>
            <w:vAlign w:val="center"/>
          </w:tcPr>
          <w:p w14:paraId="7B30C47C">
            <w:pPr>
              <w:jc w:val="left"/>
              <w:rPr>
                <w:rFonts w:hint="eastAsia" w:ascii="宋体" w:hAnsi="宋体"/>
              </w:rPr>
            </w:pPr>
            <w:r>
              <w:rPr>
                <w:rFonts w:hint="eastAsia" w:ascii="宋体" w:hAnsi="宋体"/>
              </w:rPr>
              <w:t>2022-09-28</w:t>
            </w:r>
          </w:p>
        </w:tc>
      </w:tr>
      <w:tr w14:paraId="3637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390E77">
            <w:pPr>
              <w:jc w:val="left"/>
              <w:rPr>
                <w:rFonts w:hint="eastAsia" w:ascii="宋体" w:hAnsi="宋体"/>
                <w:szCs w:val="21"/>
              </w:rPr>
            </w:pPr>
            <w:r>
              <w:rPr>
                <w:rFonts w:hint="eastAsia" w:ascii="宋体" w:hAnsi="宋体"/>
                <w:szCs w:val="21"/>
              </w:rPr>
              <w:t>产品到期日</w:t>
            </w:r>
          </w:p>
        </w:tc>
        <w:tc>
          <w:tcPr>
            <w:tcW w:w="5027" w:type="dxa"/>
            <w:vAlign w:val="center"/>
          </w:tcPr>
          <w:p w14:paraId="21F2F9F6">
            <w:pPr>
              <w:jc w:val="left"/>
              <w:rPr>
                <w:rFonts w:hint="eastAsia" w:ascii="宋体" w:hAnsi="宋体"/>
              </w:rPr>
            </w:pPr>
            <w:r>
              <w:rPr>
                <w:rFonts w:hint="eastAsia" w:ascii="宋体" w:hAnsi="宋体"/>
              </w:rPr>
              <w:t>9999-12-31</w:t>
            </w:r>
          </w:p>
        </w:tc>
      </w:tr>
      <w:tr w14:paraId="60C8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DA85B0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70CE374">
            <w:pPr>
              <w:jc w:val="left"/>
              <w:rPr>
                <w:rFonts w:hint="eastAsia" w:ascii="宋体" w:hAnsi="宋体"/>
              </w:rPr>
            </w:pPr>
            <w:bookmarkStart w:id="0" w:name="OLE_LINK1"/>
            <w:r>
              <w:rPr>
                <w:rFonts w:hint="eastAsia" w:ascii="宋体" w:hAnsi="宋体"/>
              </w:rPr>
              <w:t>945,245,135.00</w:t>
            </w:r>
            <w:bookmarkEnd w:id="0"/>
          </w:p>
        </w:tc>
      </w:tr>
      <w:tr w14:paraId="7897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EAAA0A">
            <w:pPr>
              <w:jc w:val="left"/>
              <w:rPr>
                <w:rFonts w:hint="eastAsia" w:ascii="宋体" w:hAnsi="宋体"/>
                <w:szCs w:val="21"/>
              </w:rPr>
            </w:pPr>
            <w:r>
              <w:rPr>
                <w:rFonts w:hint="eastAsia" w:ascii="宋体" w:hAnsi="宋体"/>
                <w:szCs w:val="21"/>
              </w:rPr>
              <w:t>业绩比较基准（如有）</w:t>
            </w:r>
          </w:p>
        </w:tc>
        <w:tc>
          <w:tcPr>
            <w:tcW w:w="5027" w:type="dxa"/>
            <w:vAlign w:val="center"/>
          </w:tcPr>
          <w:p w14:paraId="0B2EAC83">
            <w:pPr>
              <w:jc w:val="left"/>
              <w:rPr>
                <w:rFonts w:hint="eastAsia" w:ascii="宋体" w:hAnsi="宋体"/>
              </w:rPr>
            </w:pPr>
            <w:r>
              <w:rPr>
                <w:rFonts w:hint="eastAsia" w:ascii="宋体" w:hAnsi="宋体"/>
              </w:rPr>
              <w:t>[2%-3%]/年</w:t>
            </w:r>
          </w:p>
        </w:tc>
      </w:tr>
      <w:tr w14:paraId="23A2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31085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42F392A">
            <w:pPr>
              <w:jc w:val="left"/>
              <w:rPr>
                <w:rFonts w:hint="eastAsia" w:ascii="宋体" w:hAnsi="宋体"/>
              </w:rPr>
            </w:pPr>
            <w:r>
              <w:rPr>
                <w:rFonts w:hint="eastAsia" w:ascii="宋体" w:hAnsi="宋体"/>
                <w:lang w:val="en-US" w:eastAsia="zh-CN"/>
              </w:rPr>
              <w:t>100.60%</w:t>
            </w:r>
          </w:p>
        </w:tc>
      </w:tr>
      <w:tr w14:paraId="18446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3F708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D7083A2">
            <w:pPr>
              <w:jc w:val="left"/>
              <w:rPr>
                <w:rFonts w:hint="eastAsia" w:ascii="宋体" w:hAnsi="宋体"/>
                <w:lang w:val="en-US" w:eastAsia="zh-CN"/>
              </w:rPr>
            </w:pPr>
            <w:r>
              <w:rPr>
                <w:rFonts w:hint="eastAsia" w:ascii="宋体" w:hAnsi="宋体"/>
              </w:rPr>
              <w:t>市值法</w:t>
            </w:r>
          </w:p>
        </w:tc>
      </w:tr>
      <w:tr w14:paraId="0FC7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C8B967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FF3D30A">
            <w:pPr>
              <w:jc w:val="left"/>
              <w:rPr>
                <w:rFonts w:hint="eastAsia" w:ascii="宋体" w:hAnsi="宋体"/>
                <w:lang w:val="en-US" w:eastAsia="zh-CN"/>
              </w:rPr>
            </w:pPr>
            <w:r>
              <w:rPr>
                <w:rFonts w:hint="eastAsia" w:ascii="宋体" w:hAnsi="宋体"/>
              </w:rPr>
              <w:t>四川银行-四川银行定开系列1个月2号净值型理财产品</w:t>
            </w:r>
          </w:p>
        </w:tc>
      </w:tr>
      <w:tr w14:paraId="32B7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E4E6B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3B3A09C">
            <w:pPr>
              <w:jc w:val="left"/>
              <w:rPr>
                <w:rFonts w:hint="eastAsia" w:ascii="宋体" w:hAnsi="宋体"/>
                <w:lang w:val="en-US" w:eastAsia="zh-CN"/>
              </w:rPr>
            </w:pPr>
            <w:r>
              <w:rPr>
                <w:rFonts w:hint="eastAsia" w:ascii="宋体" w:hAnsi="宋体"/>
              </w:rPr>
              <w:t>128912158810741</w:t>
            </w:r>
          </w:p>
        </w:tc>
      </w:tr>
      <w:tr w14:paraId="270B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0C751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920F7F4">
            <w:pPr>
              <w:jc w:val="left"/>
              <w:rPr>
                <w:rFonts w:hint="eastAsia" w:ascii="宋体" w:hAnsi="宋体"/>
              </w:rPr>
            </w:pPr>
            <w:r>
              <w:rPr>
                <w:rFonts w:hint="eastAsia" w:ascii="宋体" w:hAnsi="宋体"/>
              </w:rPr>
              <w:t>成都分行营业部</w:t>
            </w:r>
          </w:p>
        </w:tc>
      </w:tr>
    </w:tbl>
    <w:p w14:paraId="043814C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CAA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5A438C1">
            <w:pPr>
              <w:jc w:val="center"/>
              <w:rPr>
                <w:rFonts w:ascii="宋体" w:hAnsi="宋体"/>
                <w:b/>
              </w:rPr>
            </w:pPr>
            <w:r>
              <w:rPr>
                <w:rFonts w:hint="eastAsia"/>
                <w:b/>
              </w:rPr>
              <w:t>阶段</w:t>
            </w:r>
          </w:p>
        </w:tc>
        <w:tc>
          <w:tcPr>
            <w:tcW w:w="5103" w:type="dxa"/>
            <w:shd w:val="clear" w:color="auto" w:fill="D9D9D9"/>
            <w:vAlign w:val="center"/>
          </w:tcPr>
          <w:p w14:paraId="0C19BB2C">
            <w:pPr>
              <w:jc w:val="center"/>
              <w:rPr>
                <w:rFonts w:ascii="宋体" w:hAnsi="宋体"/>
                <w:b/>
              </w:rPr>
            </w:pPr>
            <w:r>
              <w:rPr>
                <w:b/>
              </w:rPr>
              <w:t>净值增长率</w:t>
            </w:r>
            <w:r>
              <w:rPr>
                <w:rFonts w:hint="eastAsia"/>
                <w:b/>
              </w:rPr>
              <w:t>（%）</w:t>
            </w:r>
          </w:p>
        </w:tc>
      </w:tr>
      <w:tr w14:paraId="24AD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69BD45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BD71442">
            <w:pPr>
              <w:jc w:val="right"/>
            </w:pPr>
            <w:r>
              <w:t>0.92</w:t>
            </w:r>
          </w:p>
        </w:tc>
      </w:tr>
      <w:tr w14:paraId="6A9C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B570653">
            <w:pPr>
              <w:jc w:val="center"/>
              <w:rPr>
                <w:rFonts w:ascii="宋体" w:hAnsi="宋体"/>
              </w:rPr>
            </w:pPr>
            <w:r>
              <w:rPr>
                <w:rFonts w:hint="eastAsia" w:ascii="宋体" w:hAnsi="宋体"/>
              </w:rPr>
              <w:t>自产品成立日至今</w:t>
            </w:r>
          </w:p>
        </w:tc>
        <w:tc>
          <w:tcPr>
            <w:tcW w:w="5103" w:type="dxa"/>
            <w:vAlign w:val="center"/>
          </w:tcPr>
          <w:p w14:paraId="5B8E5BC8">
            <w:pPr>
              <w:jc w:val="right"/>
            </w:pPr>
            <w:r>
              <w:t>9.55</w:t>
            </w:r>
            <w:bookmarkStart w:id="1" w:name="OLE_LINK4"/>
            <w:bookmarkEnd w:id="1"/>
            <w:bookmarkStart w:id="2" w:name="OLE_LINK7"/>
            <w:bookmarkEnd w:id="2"/>
          </w:p>
        </w:tc>
      </w:tr>
    </w:tbl>
    <w:p w14:paraId="2A44394C">
      <w:pPr>
        <w:spacing w:line="360" w:lineRule="auto"/>
        <w:ind w:left="420" w:leftChars="200"/>
        <w:jc w:val="left"/>
        <w:rPr>
          <w:rFonts w:ascii="宋体" w:hAnsi="宋体"/>
          <w:sz w:val="24"/>
        </w:rPr>
      </w:pPr>
      <w:r>
        <w:rPr>
          <w:rFonts w:ascii="宋体" w:hAnsi="宋体"/>
          <w:sz w:val="24"/>
        </w:rPr>
        <w:t xml:space="preserve"> </w:t>
      </w:r>
    </w:p>
    <w:p w14:paraId="72738064">
      <w:pPr>
        <w:pStyle w:val="40"/>
      </w:pPr>
      <w:r>
        <w:rPr>
          <w:rFonts w:hint="eastAsia"/>
        </w:rPr>
        <w:t>主要财务指标</w:t>
      </w:r>
    </w:p>
    <w:p w14:paraId="59CBECC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8DF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F976B5F">
            <w:pPr>
              <w:jc w:val="left"/>
              <w:rPr>
                <w:rFonts w:ascii="宋体" w:hAnsi="宋体"/>
                <w:b/>
              </w:rPr>
            </w:pPr>
            <w:r>
              <w:rPr>
                <w:rFonts w:hint="eastAsia"/>
                <w:b/>
                <w:bCs/>
              </w:rPr>
              <w:t>项目</w:t>
            </w:r>
          </w:p>
        </w:tc>
        <w:tc>
          <w:tcPr>
            <w:tcW w:w="5027" w:type="dxa"/>
            <w:shd w:val="clear" w:color="auto" w:fill="D9D9D9"/>
            <w:vAlign w:val="center"/>
          </w:tcPr>
          <w:p w14:paraId="481BA40E">
            <w:pPr>
              <w:jc w:val="left"/>
              <w:rPr>
                <w:b/>
              </w:rPr>
            </w:pPr>
            <w:r>
              <w:rPr>
                <w:b/>
              </w:rPr>
              <w:t>2026-01-01</w:t>
            </w:r>
            <w:r>
              <w:rPr>
                <w:rFonts w:hint="eastAsia"/>
                <w:b/>
              </w:rPr>
              <w:t xml:space="preserve">至 </w:t>
            </w:r>
            <w:r>
              <w:rPr>
                <w:b/>
              </w:rPr>
              <w:t>2026-06-30</w:t>
            </w:r>
          </w:p>
        </w:tc>
      </w:tr>
      <w:tr w14:paraId="53BD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633870">
            <w:pPr>
              <w:rPr>
                <w:rFonts w:ascii="宋体" w:hAnsi="宋体"/>
              </w:rPr>
            </w:pPr>
            <w:r>
              <w:rPr>
                <w:rFonts w:hint="eastAsia" w:ascii="宋体" w:hAnsi="宋体"/>
                <w:szCs w:val="21"/>
              </w:rPr>
              <w:t>本期已实现收益</w:t>
            </w:r>
          </w:p>
        </w:tc>
        <w:tc>
          <w:tcPr>
            <w:tcW w:w="5027" w:type="dxa"/>
            <w:vAlign w:val="center"/>
          </w:tcPr>
          <w:p w14:paraId="4802BB11">
            <w:pPr>
              <w:jc w:val="right"/>
            </w:pPr>
            <w:r>
              <w:t>8,342,225.74</w:t>
            </w:r>
          </w:p>
        </w:tc>
      </w:tr>
      <w:tr w14:paraId="03E7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50FE0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7497516">
            <w:pPr>
              <w:ind w:hanging="1"/>
              <w:jc w:val="right"/>
            </w:pPr>
            <w:r>
              <w:rPr>
                <w:b w:val="0"/>
                <w:i w:val="0"/>
                <w:strike w:val="0"/>
                <w:u w:val="none"/>
              </w:rPr>
              <w:t>10,523,944.41</w:t>
            </w:r>
          </w:p>
        </w:tc>
      </w:tr>
      <w:tr w14:paraId="751B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AFB0B03">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F26E570">
            <w:pPr>
              <w:ind w:hanging="1"/>
              <w:jc w:val="right"/>
            </w:pPr>
            <w:r>
              <w:rPr>
                <w:b w:val="0"/>
                <w:i w:val="0"/>
                <w:strike w:val="0"/>
                <w:u w:val="none"/>
              </w:rPr>
              <w:t>945,296,929.25</w:t>
            </w:r>
          </w:p>
        </w:tc>
      </w:tr>
      <w:tr w14:paraId="5886A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55932B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72EB629">
            <w:pPr>
              <w:ind w:hanging="1"/>
              <w:jc w:val="right"/>
            </w:pPr>
            <w:r>
              <w:rPr>
                <w:b w:val="0"/>
                <w:i w:val="0"/>
                <w:strike w:val="0"/>
                <w:u w:val="none"/>
              </w:rPr>
              <w:t>1.0001</w:t>
            </w:r>
          </w:p>
        </w:tc>
      </w:tr>
      <w:tr w14:paraId="7520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663A2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0393396">
            <w:pPr>
              <w:jc w:val="right"/>
              <w:rPr>
                <w:rFonts w:hint="eastAsia"/>
                <w:lang w:val="en-US" w:eastAsia="zh-CN"/>
              </w:rPr>
            </w:pPr>
            <w:r>
              <w:rPr>
                <w:rFonts w:hint="eastAsia"/>
              </w:rPr>
              <w:t>1.0955</w:t>
            </w:r>
          </w:p>
        </w:tc>
      </w:tr>
      <w:tr w14:paraId="3D2D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37C3E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9A8FE0B">
            <w:pPr>
              <w:jc w:val="right"/>
              <w:rPr>
                <w:rFonts w:hint="eastAsia"/>
                <w:lang w:val="en-US" w:eastAsia="zh-CN"/>
              </w:rPr>
            </w:pPr>
            <w:r>
              <w:rPr>
                <w:rFonts w:hint="eastAsia"/>
              </w:rPr>
              <w:t>945,296,929.25</w:t>
            </w:r>
          </w:p>
        </w:tc>
      </w:tr>
      <w:tr w14:paraId="6FDA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173C8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A467B36">
            <w:pPr>
              <w:jc w:val="right"/>
              <w:rPr>
                <w:rFonts w:hint="eastAsia"/>
                <w:lang w:val="en-US" w:eastAsia="zh-CN"/>
              </w:rPr>
            </w:pPr>
            <w:r>
              <w:rPr>
                <w:rFonts w:hint="eastAsia"/>
              </w:rPr>
              <w:t>1.0001</w:t>
            </w:r>
          </w:p>
        </w:tc>
      </w:tr>
      <w:tr w14:paraId="2233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3F031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93A832B">
            <w:pPr>
              <w:jc w:val="right"/>
              <w:rPr>
                <w:rFonts w:hint="eastAsia"/>
                <w:lang w:val="en-US" w:eastAsia="zh-CN"/>
              </w:rPr>
            </w:pPr>
            <w:r>
              <w:rPr>
                <w:rFonts w:hint="eastAsia"/>
              </w:rPr>
              <w:t>1.0955</w:t>
            </w:r>
          </w:p>
        </w:tc>
      </w:tr>
    </w:tbl>
    <w:p w14:paraId="39F7D3BD">
      <w:pPr>
        <w:tabs>
          <w:tab w:val="left" w:pos="3135"/>
        </w:tabs>
        <w:ind w:left="420" w:leftChars="200"/>
      </w:pPr>
    </w:p>
    <w:p w14:paraId="27A5A556">
      <w:pPr>
        <w:pStyle w:val="40"/>
      </w:pPr>
      <w:r>
        <w:rPr>
          <w:rFonts w:hint="eastAsia"/>
        </w:rPr>
        <w:t>投资组合情况及</w:t>
      </w:r>
      <w:r>
        <w:t>流动性风险分析</w:t>
      </w:r>
    </w:p>
    <w:p w14:paraId="5554BFC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2375CD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91BD0A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AFCA82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387A5DE">
      <w:pPr>
        <w:pStyle w:val="41"/>
        <w:spacing w:before="156" w:after="156"/>
      </w:pPr>
      <w:r>
        <w:rPr>
          <w:rFonts w:hint="eastAsia"/>
          <w:b w:val="0"/>
        </w:rPr>
        <w:t>期末资产组合情况</w:t>
      </w:r>
    </w:p>
    <w:p w14:paraId="6B96AC06">
      <w:pPr>
        <w:jc w:val="right"/>
      </w:pPr>
    </w:p>
    <w:p w14:paraId="4A46EDB1">
      <w:pPr>
        <w:jc w:val="right"/>
      </w:pPr>
    </w:p>
    <w:p w14:paraId="0338AC56">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DD0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54F1C8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5E92B4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5A3677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BB1A2A2">
            <w:pPr>
              <w:jc w:val="center"/>
              <w:rPr>
                <w:rFonts w:ascii="宋体" w:hAnsi="宋体"/>
                <w:b/>
                <w:szCs w:val="21"/>
              </w:rPr>
            </w:pPr>
            <w:r>
              <w:rPr>
                <w:rFonts w:hint="eastAsia" w:ascii="宋体" w:hAnsi="宋体"/>
                <w:b/>
                <w:szCs w:val="21"/>
              </w:rPr>
              <w:t>间接</w:t>
            </w:r>
            <w:r>
              <w:rPr>
                <w:rFonts w:ascii="宋体" w:hAnsi="宋体"/>
                <w:b/>
                <w:szCs w:val="21"/>
              </w:rPr>
              <w:t>投资</w:t>
            </w:r>
          </w:p>
        </w:tc>
      </w:tr>
      <w:tr w14:paraId="7D51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6E8B26D">
            <w:pPr>
              <w:jc w:val="center"/>
              <w:rPr>
                <w:rFonts w:ascii="宋体" w:hAnsi="宋体"/>
                <w:b/>
                <w:szCs w:val="21"/>
              </w:rPr>
            </w:pPr>
          </w:p>
        </w:tc>
        <w:tc>
          <w:tcPr>
            <w:tcW w:w="1447" w:type="dxa"/>
            <w:vMerge w:val="continue"/>
            <w:shd w:val="clear" w:color="auto" w:fill="D9D9D9"/>
            <w:vAlign w:val="center"/>
          </w:tcPr>
          <w:p w14:paraId="1041C81A">
            <w:pPr>
              <w:jc w:val="center"/>
              <w:rPr>
                <w:rFonts w:ascii="宋体" w:hAnsi="宋体"/>
                <w:b/>
                <w:szCs w:val="21"/>
              </w:rPr>
            </w:pPr>
          </w:p>
        </w:tc>
        <w:tc>
          <w:tcPr>
            <w:tcW w:w="1697" w:type="dxa"/>
            <w:shd w:val="clear" w:color="auto" w:fill="D9D9D9"/>
            <w:vAlign w:val="center"/>
          </w:tcPr>
          <w:p w14:paraId="0B10C64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F3C44C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1967BBC">
            <w:pPr>
              <w:jc w:val="center"/>
              <w:rPr>
                <w:rFonts w:ascii="宋体" w:hAnsi="宋体"/>
                <w:b/>
                <w:szCs w:val="21"/>
              </w:rPr>
            </w:pPr>
            <w:r>
              <w:rPr>
                <w:rFonts w:hint="eastAsia" w:ascii="宋体" w:hAnsi="宋体"/>
                <w:b/>
                <w:szCs w:val="21"/>
              </w:rPr>
              <w:t>金额</w:t>
            </w:r>
          </w:p>
        </w:tc>
        <w:tc>
          <w:tcPr>
            <w:tcW w:w="1705" w:type="dxa"/>
            <w:shd w:val="clear" w:color="auto" w:fill="D9D9D9"/>
          </w:tcPr>
          <w:p w14:paraId="21C91FF7">
            <w:pPr>
              <w:jc w:val="center"/>
              <w:rPr>
                <w:rFonts w:ascii="宋体" w:hAnsi="宋体"/>
                <w:b/>
                <w:szCs w:val="21"/>
              </w:rPr>
            </w:pPr>
            <w:r>
              <w:rPr>
                <w:rFonts w:hint="eastAsia" w:ascii="宋体" w:hAnsi="宋体"/>
                <w:b/>
                <w:szCs w:val="21"/>
              </w:rPr>
              <w:t>占产品总资产的比例（%）</w:t>
            </w:r>
          </w:p>
        </w:tc>
      </w:tr>
      <w:tr w14:paraId="73F6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9EDCF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C696A8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F25269C">
            <w:pPr>
              <w:jc w:val="right"/>
            </w:pPr>
            <w:r>
              <w:t>0.00</w:t>
            </w:r>
          </w:p>
        </w:tc>
        <w:tc>
          <w:tcPr>
            <w:tcW w:w="1749" w:type="dxa"/>
            <w:shd w:val="clear" w:color="auto" w:fill="auto"/>
            <w:vAlign w:val="center"/>
          </w:tcPr>
          <w:p w14:paraId="7A1D872D">
            <w:pPr>
              <w:jc w:val="right"/>
            </w:pPr>
            <w:r>
              <w:t>0.00</w:t>
            </w:r>
          </w:p>
        </w:tc>
        <w:tc>
          <w:tcPr>
            <w:tcW w:w="1653" w:type="dxa"/>
            <w:vAlign w:val="center"/>
          </w:tcPr>
          <w:p w14:paraId="2FB34E24">
            <w:pPr>
              <w:jc w:val="right"/>
            </w:pPr>
            <w:r>
              <w:t>0.00</w:t>
            </w:r>
          </w:p>
        </w:tc>
        <w:tc>
          <w:tcPr>
            <w:tcW w:w="1705" w:type="dxa"/>
            <w:vAlign w:val="center"/>
          </w:tcPr>
          <w:p w14:paraId="0EA0AA16">
            <w:pPr>
              <w:jc w:val="right"/>
            </w:pPr>
            <w:r>
              <w:t>0.00</w:t>
            </w:r>
          </w:p>
        </w:tc>
      </w:tr>
      <w:tr w14:paraId="5E8C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79E2EF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C755C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491ABEF">
            <w:pPr>
              <w:jc w:val="right"/>
            </w:pPr>
            <w:r>
              <w:t>0.00</w:t>
            </w:r>
          </w:p>
        </w:tc>
        <w:tc>
          <w:tcPr>
            <w:tcW w:w="1749" w:type="dxa"/>
            <w:shd w:val="clear" w:color="auto" w:fill="auto"/>
            <w:vAlign w:val="center"/>
          </w:tcPr>
          <w:p w14:paraId="6D6FEBD7">
            <w:pPr>
              <w:jc w:val="right"/>
            </w:pPr>
            <w:r>
              <w:t>0.00</w:t>
            </w:r>
          </w:p>
        </w:tc>
        <w:tc>
          <w:tcPr>
            <w:tcW w:w="1653" w:type="dxa"/>
            <w:vAlign w:val="center"/>
          </w:tcPr>
          <w:p w14:paraId="3A579758">
            <w:pPr>
              <w:jc w:val="right"/>
            </w:pPr>
            <w:r>
              <w:t>0.00</w:t>
            </w:r>
          </w:p>
        </w:tc>
        <w:tc>
          <w:tcPr>
            <w:tcW w:w="1705" w:type="dxa"/>
            <w:vAlign w:val="center"/>
          </w:tcPr>
          <w:p w14:paraId="27669B2F">
            <w:pPr>
              <w:jc w:val="right"/>
            </w:pPr>
            <w:r>
              <w:t>0.00</w:t>
            </w:r>
          </w:p>
        </w:tc>
      </w:tr>
      <w:tr w14:paraId="5354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B7E28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377A9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523EBB3">
            <w:pPr>
              <w:jc w:val="right"/>
            </w:pPr>
          </w:p>
        </w:tc>
        <w:tc>
          <w:tcPr>
            <w:tcW w:w="1749" w:type="dxa"/>
            <w:shd w:val="clear" w:color="auto" w:fill="auto"/>
            <w:vAlign w:val="center"/>
          </w:tcPr>
          <w:p w14:paraId="6342C27D">
            <w:pPr>
              <w:jc w:val="right"/>
            </w:pPr>
          </w:p>
        </w:tc>
        <w:tc>
          <w:tcPr>
            <w:tcW w:w="1653" w:type="dxa"/>
            <w:vAlign w:val="center"/>
          </w:tcPr>
          <w:p w14:paraId="3ED8EBAF">
            <w:pPr>
              <w:jc w:val="right"/>
            </w:pPr>
          </w:p>
        </w:tc>
        <w:tc>
          <w:tcPr>
            <w:tcW w:w="1705" w:type="dxa"/>
            <w:vAlign w:val="center"/>
          </w:tcPr>
          <w:p w14:paraId="3B0AF791">
            <w:pPr>
              <w:jc w:val="right"/>
            </w:pPr>
          </w:p>
        </w:tc>
      </w:tr>
      <w:tr w14:paraId="2C64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F6F34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F41A9F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17944AC">
            <w:pPr>
              <w:jc w:val="right"/>
            </w:pPr>
            <w:r>
              <w:t>0.00</w:t>
            </w:r>
          </w:p>
        </w:tc>
        <w:tc>
          <w:tcPr>
            <w:tcW w:w="1749" w:type="dxa"/>
            <w:shd w:val="clear" w:color="auto" w:fill="auto"/>
            <w:vAlign w:val="center"/>
          </w:tcPr>
          <w:p w14:paraId="14577170">
            <w:pPr>
              <w:jc w:val="right"/>
            </w:pPr>
            <w:r>
              <w:t>0.00</w:t>
            </w:r>
          </w:p>
        </w:tc>
        <w:tc>
          <w:tcPr>
            <w:tcW w:w="1653" w:type="dxa"/>
            <w:vAlign w:val="center"/>
          </w:tcPr>
          <w:p w14:paraId="3916DD73">
            <w:pPr>
              <w:jc w:val="right"/>
            </w:pPr>
            <w:r>
              <w:t>0.00</w:t>
            </w:r>
          </w:p>
        </w:tc>
        <w:tc>
          <w:tcPr>
            <w:tcW w:w="1705" w:type="dxa"/>
            <w:vAlign w:val="center"/>
          </w:tcPr>
          <w:p w14:paraId="308582EE">
            <w:pPr>
              <w:jc w:val="right"/>
            </w:pPr>
            <w:r>
              <w:t>0.00</w:t>
            </w:r>
          </w:p>
        </w:tc>
      </w:tr>
      <w:tr w14:paraId="7084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559A3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FC257A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E3CE9FC">
            <w:pPr>
              <w:jc w:val="right"/>
            </w:pPr>
            <w:r>
              <w:t>734,148,012.40</w:t>
            </w:r>
          </w:p>
        </w:tc>
        <w:tc>
          <w:tcPr>
            <w:tcW w:w="1749" w:type="dxa"/>
            <w:shd w:val="clear" w:color="auto" w:fill="auto"/>
            <w:vAlign w:val="center"/>
          </w:tcPr>
          <w:p w14:paraId="6DC17731">
            <w:pPr>
              <w:jc w:val="right"/>
            </w:pPr>
            <w:r>
              <w:t>77.20</w:t>
            </w:r>
          </w:p>
        </w:tc>
        <w:tc>
          <w:tcPr>
            <w:tcW w:w="1653" w:type="dxa"/>
            <w:vAlign w:val="center"/>
          </w:tcPr>
          <w:p w14:paraId="3388D466">
            <w:pPr>
              <w:jc w:val="right"/>
            </w:pPr>
            <w:r>
              <w:t>0.00</w:t>
            </w:r>
          </w:p>
        </w:tc>
        <w:tc>
          <w:tcPr>
            <w:tcW w:w="1705" w:type="dxa"/>
            <w:vAlign w:val="center"/>
          </w:tcPr>
          <w:p w14:paraId="4DBFCADC">
            <w:pPr>
              <w:jc w:val="right"/>
            </w:pPr>
            <w:r>
              <w:t>0.00</w:t>
            </w:r>
          </w:p>
        </w:tc>
      </w:tr>
      <w:tr w14:paraId="1DAD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BD9558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C4751E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099BCBD">
            <w:pPr>
              <w:jc w:val="right"/>
            </w:pPr>
            <w:r>
              <w:t>717,242,499.72</w:t>
            </w:r>
          </w:p>
        </w:tc>
        <w:tc>
          <w:tcPr>
            <w:tcW w:w="1749" w:type="dxa"/>
            <w:shd w:val="clear" w:color="auto" w:fill="auto"/>
            <w:vAlign w:val="center"/>
          </w:tcPr>
          <w:p w14:paraId="6798AB6B">
            <w:pPr>
              <w:jc w:val="right"/>
            </w:pPr>
            <w:r>
              <w:t>75.43</w:t>
            </w:r>
          </w:p>
        </w:tc>
        <w:tc>
          <w:tcPr>
            <w:tcW w:w="1653" w:type="dxa"/>
            <w:vAlign w:val="center"/>
          </w:tcPr>
          <w:p w14:paraId="05032C11">
            <w:pPr>
              <w:jc w:val="right"/>
            </w:pPr>
            <w:r>
              <w:t>0.00</w:t>
            </w:r>
          </w:p>
        </w:tc>
        <w:tc>
          <w:tcPr>
            <w:tcW w:w="1705" w:type="dxa"/>
            <w:vAlign w:val="center"/>
          </w:tcPr>
          <w:p w14:paraId="7D395E88">
            <w:pPr>
              <w:jc w:val="right"/>
            </w:pPr>
            <w:r>
              <w:t>0.00</w:t>
            </w:r>
          </w:p>
        </w:tc>
      </w:tr>
      <w:tr w14:paraId="5778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72588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5F33A6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6F01B0A">
            <w:pPr>
              <w:jc w:val="right"/>
            </w:pPr>
            <w:r>
              <w:t>16,905,512.68</w:t>
            </w:r>
          </w:p>
        </w:tc>
        <w:tc>
          <w:tcPr>
            <w:tcW w:w="1749" w:type="dxa"/>
            <w:shd w:val="clear" w:color="auto" w:fill="auto"/>
            <w:vAlign w:val="center"/>
          </w:tcPr>
          <w:p w14:paraId="7617543C">
            <w:pPr>
              <w:jc w:val="right"/>
            </w:pPr>
            <w:r>
              <w:t>1.78</w:t>
            </w:r>
          </w:p>
        </w:tc>
        <w:tc>
          <w:tcPr>
            <w:tcW w:w="1653" w:type="dxa"/>
            <w:vAlign w:val="center"/>
          </w:tcPr>
          <w:p w14:paraId="78B2A220">
            <w:pPr>
              <w:jc w:val="right"/>
            </w:pPr>
            <w:r>
              <w:t>0.00</w:t>
            </w:r>
          </w:p>
        </w:tc>
        <w:tc>
          <w:tcPr>
            <w:tcW w:w="1705" w:type="dxa"/>
            <w:vAlign w:val="center"/>
          </w:tcPr>
          <w:p w14:paraId="4F8D3E05">
            <w:pPr>
              <w:jc w:val="right"/>
            </w:pPr>
            <w:r>
              <w:t>0.00</w:t>
            </w:r>
          </w:p>
        </w:tc>
      </w:tr>
      <w:tr w14:paraId="33F9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2F80F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39281F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0BA9EE9">
            <w:pPr>
              <w:jc w:val="right"/>
            </w:pPr>
            <w:r>
              <w:t>0.00</w:t>
            </w:r>
          </w:p>
        </w:tc>
        <w:tc>
          <w:tcPr>
            <w:tcW w:w="1749" w:type="dxa"/>
            <w:shd w:val="clear" w:color="auto" w:fill="auto"/>
            <w:vAlign w:val="center"/>
          </w:tcPr>
          <w:p w14:paraId="44862A09">
            <w:pPr>
              <w:jc w:val="right"/>
            </w:pPr>
            <w:r>
              <w:t>0.00</w:t>
            </w:r>
          </w:p>
        </w:tc>
        <w:tc>
          <w:tcPr>
            <w:tcW w:w="1653" w:type="dxa"/>
            <w:vAlign w:val="center"/>
          </w:tcPr>
          <w:p w14:paraId="6C7457B2">
            <w:pPr>
              <w:jc w:val="right"/>
            </w:pPr>
            <w:r>
              <w:t>0.00</w:t>
            </w:r>
          </w:p>
        </w:tc>
        <w:tc>
          <w:tcPr>
            <w:tcW w:w="1705" w:type="dxa"/>
            <w:vAlign w:val="center"/>
          </w:tcPr>
          <w:p w14:paraId="3C8A2A41">
            <w:pPr>
              <w:jc w:val="right"/>
            </w:pPr>
            <w:r>
              <w:t>0.00</w:t>
            </w:r>
          </w:p>
        </w:tc>
      </w:tr>
      <w:tr w14:paraId="1EAA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7A15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9AAB7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844D265">
            <w:pPr>
              <w:jc w:val="right"/>
            </w:pPr>
          </w:p>
        </w:tc>
        <w:tc>
          <w:tcPr>
            <w:tcW w:w="1749" w:type="dxa"/>
            <w:shd w:val="clear" w:color="auto" w:fill="auto"/>
            <w:vAlign w:val="center"/>
          </w:tcPr>
          <w:p w14:paraId="3F53B1C5">
            <w:pPr>
              <w:jc w:val="right"/>
            </w:pPr>
          </w:p>
        </w:tc>
        <w:tc>
          <w:tcPr>
            <w:tcW w:w="1653" w:type="dxa"/>
            <w:vAlign w:val="center"/>
          </w:tcPr>
          <w:p w14:paraId="531D043E">
            <w:pPr>
              <w:jc w:val="right"/>
            </w:pPr>
          </w:p>
        </w:tc>
        <w:tc>
          <w:tcPr>
            <w:tcW w:w="1705" w:type="dxa"/>
            <w:vAlign w:val="center"/>
          </w:tcPr>
          <w:p w14:paraId="59656F32">
            <w:pPr>
              <w:jc w:val="right"/>
            </w:pPr>
          </w:p>
        </w:tc>
      </w:tr>
      <w:tr w14:paraId="320D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C62BA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03B02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0B5EE76">
            <w:pPr>
              <w:jc w:val="right"/>
            </w:pPr>
          </w:p>
        </w:tc>
        <w:tc>
          <w:tcPr>
            <w:tcW w:w="1749" w:type="dxa"/>
            <w:shd w:val="clear" w:color="auto" w:fill="auto"/>
            <w:vAlign w:val="center"/>
          </w:tcPr>
          <w:p w14:paraId="112E81E1">
            <w:pPr>
              <w:jc w:val="right"/>
            </w:pPr>
          </w:p>
        </w:tc>
        <w:tc>
          <w:tcPr>
            <w:tcW w:w="1653" w:type="dxa"/>
            <w:vAlign w:val="center"/>
          </w:tcPr>
          <w:p w14:paraId="5DA3CB70">
            <w:pPr>
              <w:jc w:val="right"/>
            </w:pPr>
          </w:p>
        </w:tc>
        <w:tc>
          <w:tcPr>
            <w:tcW w:w="1705" w:type="dxa"/>
            <w:vAlign w:val="center"/>
          </w:tcPr>
          <w:p w14:paraId="214F49CD">
            <w:pPr>
              <w:jc w:val="right"/>
            </w:pPr>
          </w:p>
        </w:tc>
      </w:tr>
      <w:tr w14:paraId="413A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AB95F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07982D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B05E576">
            <w:pPr>
              <w:jc w:val="right"/>
            </w:pPr>
            <w:r>
              <w:t>0.00</w:t>
            </w:r>
          </w:p>
        </w:tc>
        <w:tc>
          <w:tcPr>
            <w:tcW w:w="1749" w:type="dxa"/>
            <w:shd w:val="clear" w:color="auto" w:fill="auto"/>
            <w:vAlign w:val="center"/>
          </w:tcPr>
          <w:p w14:paraId="5BC9E5D0">
            <w:pPr>
              <w:jc w:val="right"/>
            </w:pPr>
            <w:r>
              <w:t>0.00</w:t>
            </w:r>
          </w:p>
        </w:tc>
        <w:tc>
          <w:tcPr>
            <w:tcW w:w="1653" w:type="dxa"/>
            <w:vAlign w:val="center"/>
          </w:tcPr>
          <w:p w14:paraId="6103615D">
            <w:pPr>
              <w:jc w:val="right"/>
            </w:pPr>
            <w:r>
              <w:t>0.00</w:t>
            </w:r>
          </w:p>
        </w:tc>
        <w:tc>
          <w:tcPr>
            <w:tcW w:w="1705" w:type="dxa"/>
            <w:vAlign w:val="center"/>
          </w:tcPr>
          <w:p w14:paraId="4818FC68">
            <w:pPr>
              <w:jc w:val="right"/>
            </w:pPr>
            <w:r>
              <w:t>0.00</w:t>
            </w:r>
          </w:p>
        </w:tc>
      </w:tr>
      <w:tr w14:paraId="74C4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69D9F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711E93E">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870D0B6">
            <w:pPr>
              <w:jc w:val="right"/>
            </w:pPr>
          </w:p>
        </w:tc>
        <w:tc>
          <w:tcPr>
            <w:tcW w:w="1749" w:type="dxa"/>
            <w:shd w:val="clear" w:color="auto" w:fill="auto"/>
            <w:vAlign w:val="center"/>
          </w:tcPr>
          <w:p w14:paraId="0945C8D7">
            <w:pPr>
              <w:jc w:val="right"/>
            </w:pPr>
          </w:p>
        </w:tc>
        <w:tc>
          <w:tcPr>
            <w:tcW w:w="1653" w:type="dxa"/>
            <w:vAlign w:val="center"/>
          </w:tcPr>
          <w:p w14:paraId="116278C5">
            <w:pPr>
              <w:jc w:val="right"/>
            </w:pPr>
          </w:p>
        </w:tc>
        <w:tc>
          <w:tcPr>
            <w:tcW w:w="1705" w:type="dxa"/>
            <w:vAlign w:val="center"/>
          </w:tcPr>
          <w:p w14:paraId="076B6470">
            <w:pPr>
              <w:jc w:val="right"/>
            </w:pPr>
          </w:p>
        </w:tc>
      </w:tr>
      <w:tr w14:paraId="10FC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316C5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124FFF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C209C20">
            <w:pPr>
              <w:jc w:val="right"/>
            </w:pPr>
            <w:r>
              <w:t>100,000,200.00</w:t>
            </w:r>
          </w:p>
        </w:tc>
        <w:tc>
          <w:tcPr>
            <w:tcW w:w="1749" w:type="dxa"/>
            <w:shd w:val="clear" w:color="auto" w:fill="auto"/>
            <w:vAlign w:val="center"/>
          </w:tcPr>
          <w:p w14:paraId="42727C06">
            <w:pPr>
              <w:jc w:val="right"/>
            </w:pPr>
            <w:r>
              <w:t>10.52</w:t>
            </w:r>
          </w:p>
        </w:tc>
        <w:tc>
          <w:tcPr>
            <w:tcW w:w="1653" w:type="dxa"/>
            <w:vAlign w:val="center"/>
          </w:tcPr>
          <w:p w14:paraId="0FC30177">
            <w:pPr>
              <w:jc w:val="right"/>
            </w:pPr>
            <w:r>
              <w:t>0.00</w:t>
            </w:r>
          </w:p>
        </w:tc>
        <w:tc>
          <w:tcPr>
            <w:tcW w:w="1705" w:type="dxa"/>
            <w:vAlign w:val="center"/>
          </w:tcPr>
          <w:p w14:paraId="667A8F5C">
            <w:pPr>
              <w:jc w:val="right"/>
            </w:pPr>
            <w:r>
              <w:t>0.00</w:t>
            </w:r>
          </w:p>
        </w:tc>
      </w:tr>
      <w:tr w14:paraId="033F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87C8B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CB9A1C">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8A21051">
            <w:pPr>
              <w:jc w:val="right"/>
            </w:pPr>
            <w:r>
              <w:t>0.00</w:t>
            </w:r>
          </w:p>
        </w:tc>
        <w:tc>
          <w:tcPr>
            <w:tcW w:w="1749" w:type="dxa"/>
            <w:shd w:val="clear" w:color="auto" w:fill="auto"/>
            <w:vAlign w:val="center"/>
          </w:tcPr>
          <w:p w14:paraId="37B279ED">
            <w:pPr>
              <w:jc w:val="right"/>
            </w:pPr>
            <w:r>
              <w:t>0.00</w:t>
            </w:r>
          </w:p>
        </w:tc>
        <w:tc>
          <w:tcPr>
            <w:tcW w:w="1653" w:type="dxa"/>
            <w:vAlign w:val="center"/>
          </w:tcPr>
          <w:p w14:paraId="31E238E6">
            <w:pPr>
              <w:jc w:val="right"/>
            </w:pPr>
            <w:r>
              <w:t>0.00</w:t>
            </w:r>
          </w:p>
        </w:tc>
        <w:tc>
          <w:tcPr>
            <w:tcW w:w="1705" w:type="dxa"/>
            <w:vAlign w:val="center"/>
          </w:tcPr>
          <w:p w14:paraId="27D777D7">
            <w:pPr>
              <w:jc w:val="right"/>
            </w:pPr>
            <w:r>
              <w:t>0.00</w:t>
            </w:r>
          </w:p>
        </w:tc>
      </w:tr>
      <w:tr w14:paraId="0E3B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FBC29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D56838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2DF68D3">
            <w:pPr>
              <w:jc w:val="right"/>
            </w:pPr>
          </w:p>
        </w:tc>
        <w:tc>
          <w:tcPr>
            <w:tcW w:w="1749" w:type="dxa"/>
            <w:shd w:val="clear" w:color="auto" w:fill="auto"/>
            <w:vAlign w:val="center"/>
          </w:tcPr>
          <w:p w14:paraId="2DA2E7C2">
            <w:pPr>
              <w:jc w:val="right"/>
            </w:pPr>
          </w:p>
        </w:tc>
        <w:tc>
          <w:tcPr>
            <w:tcW w:w="1653" w:type="dxa"/>
            <w:vAlign w:val="center"/>
          </w:tcPr>
          <w:p w14:paraId="3AE9DAC8">
            <w:pPr>
              <w:jc w:val="right"/>
            </w:pPr>
          </w:p>
        </w:tc>
        <w:tc>
          <w:tcPr>
            <w:tcW w:w="1705" w:type="dxa"/>
            <w:vAlign w:val="center"/>
          </w:tcPr>
          <w:p w14:paraId="6C2F9955">
            <w:pPr>
              <w:jc w:val="right"/>
            </w:pPr>
          </w:p>
        </w:tc>
      </w:tr>
      <w:tr w14:paraId="3585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751B6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0C792A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52E6CD8">
            <w:pPr>
              <w:jc w:val="right"/>
            </w:pPr>
            <w:r>
              <w:t>116,398,746.52</w:t>
            </w:r>
          </w:p>
        </w:tc>
        <w:tc>
          <w:tcPr>
            <w:tcW w:w="1749" w:type="dxa"/>
            <w:shd w:val="clear" w:color="auto" w:fill="auto"/>
            <w:vAlign w:val="center"/>
          </w:tcPr>
          <w:p w14:paraId="77068078">
            <w:pPr>
              <w:jc w:val="right"/>
            </w:pPr>
            <w:r>
              <w:t>12.24</w:t>
            </w:r>
          </w:p>
        </w:tc>
        <w:tc>
          <w:tcPr>
            <w:tcW w:w="1653" w:type="dxa"/>
            <w:vAlign w:val="center"/>
          </w:tcPr>
          <w:p w14:paraId="246C0B31">
            <w:pPr>
              <w:jc w:val="right"/>
            </w:pPr>
            <w:r>
              <w:t>0.00</w:t>
            </w:r>
          </w:p>
        </w:tc>
        <w:tc>
          <w:tcPr>
            <w:tcW w:w="1705" w:type="dxa"/>
            <w:vAlign w:val="center"/>
          </w:tcPr>
          <w:p w14:paraId="506D648C">
            <w:pPr>
              <w:jc w:val="right"/>
            </w:pPr>
            <w:r>
              <w:t>0.00</w:t>
            </w:r>
          </w:p>
        </w:tc>
      </w:tr>
      <w:tr w14:paraId="35BB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5F059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77B4B1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6653676">
            <w:pPr>
              <w:jc w:val="right"/>
            </w:pPr>
            <w:r>
              <w:t>0.00</w:t>
            </w:r>
          </w:p>
        </w:tc>
        <w:tc>
          <w:tcPr>
            <w:tcW w:w="1749" w:type="dxa"/>
            <w:shd w:val="clear" w:color="auto" w:fill="auto"/>
            <w:vAlign w:val="center"/>
          </w:tcPr>
          <w:p w14:paraId="21F59A69">
            <w:pPr>
              <w:jc w:val="right"/>
            </w:pPr>
            <w:r>
              <w:t>0.00</w:t>
            </w:r>
          </w:p>
        </w:tc>
        <w:tc>
          <w:tcPr>
            <w:tcW w:w="1653" w:type="dxa"/>
            <w:vAlign w:val="center"/>
          </w:tcPr>
          <w:p w14:paraId="4260774C">
            <w:pPr>
              <w:jc w:val="right"/>
            </w:pPr>
            <w:r>
              <w:t>0.00</w:t>
            </w:r>
          </w:p>
        </w:tc>
        <w:tc>
          <w:tcPr>
            <w:tcW w:w="1705" w:type="dxa"/>
            <w:vAlign w:val="center"/>
          </w:tcPr>
          <w:p w14:paraId="5850A802">
            <w:pPr>
              <w:jc w:val="right"/>
            </w:pPr>
            <w:r>
              <w:t>0.00</w:t>
            </w:r>
          </w:p>
        </w:tc>
      </w:tr>
      <w:tr w14:paraId="2D00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C3001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C4F3FA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928BF47">
            <w:pPr>
              <w:jc w:val="right"/>
            </w:pPr>
            <w:r>
              <w:t>0.00</w:t>
            </w:r>
          </w:p>
        </w:tc>
        <w:tc>
          <w:tcPr>
            <w:tcW w:w="1749" w:type="dxa"/>
            <w:shd w:val="clear" w:color="auto" w:fill="auto"/>
            <w:vAlign w:val="center"/>
          </w:tcPr>
          <w:p w14:paraId="70079B49">
            <w:pPr>
              <w:jc w:val="right"/>
            </w:pPr>
            <w:r>
              <w:t>0.00</w:t>
            </w:r>
          </w:p>
        </w:tc>
        <w:tc>
          <w:tcPr>
            <w:tcW w:w="1653" w:type="dxa"/>
            <w:vAlign w:val="center"/>
          </w:tcPr>
          <w:p w14:paraId="661E3D33">
            <w:pPr>
              <w:jc w:val="right"/>
            </w:pPr>
            <w:r>
              <w:t>0.00</w:t>
            </w:r>
          </w:p>
        </w:tc>
        <w:tc>
          <w:tcPr>
            <w:tcW w:w="1705" w:type="dxa"/>
            <w:vAlign w:val="center"/>
          </w:tcPr>
          <w:p w14:paraId="725E199A">
            <w:pPr>
              <w:jc w:val="right"/>
            </w:pPr>
            <w:r>
              <w:t>0.00</w:t>
            </w:r>
          </w:p>
        </w:tc>
      </w:tr>
      <w:tr w14:paraId="0538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99283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3DE3E3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02A6FE0">
            <w:pPr>
              <w:jc w:val="right"/>
            </w:pPr>
            <w:r>
              <w:t>380,360.22</w:t>
            </w:r>
          </w:p>
        </w:tc>
        <w:tc>
          <w:tcPr>
            <w:tcW w:w="1749" w:type="dxa"/>
            <w:shd w:val="clear" w:color="auto" w:fill="auto"/>
            <w:vAlign w:val="center"/>
          </w:tcPr>
          <w:p w14:paraId="72F4630E">
            <w:pPr>
              <w:jc w:val="right"/>
            </w:pPr>
            <w:r>
              <w:t>0.04</w:t>
            </w:r>
          </w:p>
        </w:tc>
        <w:tc>
          <w:tcPr>
            <w:tcW w:w="1653" w:type="dxa"/>
            <w:vAlign w:val="center"/>
          </w:tcPr>
          <w:p w14:paraId="71576606">
            <w:pPr>
              <w:jc w:val="right"/>
            </w:pPr>
            <w:r>
              <w:t>0.00</w:t>
            </w:r>
          </w:p>
        </w:tc>
        <w:tc>
          <w:tcPr>
            <w:tcW w:w="1705" w:type="dxa"/>
            <w:vAlign w:val="center"/>
          </w:tcPr>
          <w:p w14:paraId="47E384E1">
            <w:pPr>
              <w:jc w:val="right"/>
            </w:pPr>
            <w:r>
              <w:t>0.00</w:t>
            </w:r>
          </w:p>
        </w:tc>
      </w:tr>
      <w:tr w14:paraId="39E4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63B33E2">
            <w:pPr>
              <w:jc w:val="left"/>
              <w:rPr>
                <w:rFonts w:ascii="宋体" w:hAnsi="宋体"/>
                <w:szCs w:val="21"/>
              </w:rPr>
            </w:pPr>
          </w:p>
        </w:tc>
        <w:tc>
          <w:tcPr>
            <w:tcW w:w="1447" w:type="dxa"/>
            <w:shd w:val="clear" w:color="auto" w:fill="auto"/>
          </w:tcPr>
          <w:p w14:paraId="32DE3704">
            <w:pPr>
              <w:jc w:val="left"/>
              <w:rPr>
                <w:rFonts w:ascii="宋体" w:hAnsi="宋体"/>
                <w:szCs w:val="21"/>
              </w:rPr>
            </w:pPr>
            <w:r>
              <w:rPr>
                <w:rFonts w:hint="eastAsia" w:ascii="宋体" w:hAnsi="宋体"/>
                <w:szCs w:val="21"/>
              </w:rPr>
              <w:t>合计</w:t>
            </w:r>
          </w:p>
        </w:tc>
        <w:tc>
          <w:tcPr>
            <w:tcW w:w="1697" w:type="dxa"/>
            <w:shd w:val="clear" w:color="auto" w:fill="auto"/>
          </w:tcPr>
          <w:p w14:paraId="279DB7E1">
            <w:pPr>
              <w:jc w:val="right"/>
            </w:pPr>
            <w:r>
              <w:t>950,927,319.14</w:t>
            </w:r>
          </w:p>
        </w:tc>
        <w:tc>
          <w:tcPr>
            <w:tcW w:w="1749" w:type="dxa"/>
            <w:shd w:val="clear" w:color="auto" w:fill="auto"/>
          </w:tcPr>
          <w:p w14:paraId="4BDB6A0B">
            <w:pPr>
              <w:jc w:val="right"/>
            </w:pPr>
            <w:r>
              <w:t>100.00</w:t>
            </w:r>
          </w:p>
        </w:tc>
        <w:tc>
          <w:tcPr>
            <w:tcW w:w="1653" w:type="dxa"/>
          </w:tcPr>
          <w:p w14:paraId="296C07BC">
            <w:pPr>
              <w:jc w:val="right"/>
            </w:pPr>
            <w:r>
              <w:t>0.00</w:t>
            </w:r>
          </w:p>
        </w:tc>
        <w:tc>
          <w:tcPr>
            <w:tcW w:w="1705" w:type="dxa"/>
          </w:tcPr>
          <w:p w14:paraId="3F1821A0">
            <w:pPr>
              <w:jc w:val="right"/>
            </w:pPr>
            <w:r>
              <w:t>0.00</w:t>
            </w:r>
          </w:p>
        </w:tc>
      </w:tr>
    </w:tbl>
    <w:p w14:paraId="7DA415E9">
      <w:pPr>
        <w:ind w:left="420" w:leftChars="200"/>
        <w:jc w:val="left"/>
        <w:rPr>
          <w:rFonts w:ascii="宋体" w:hAnsi="宋体"/>
          <w:sz w:val="24"/>
        </w:rPr>
      </w:pPr>
    </w:p>
    <w:p w14:paraId="088E958B">
      <w:pPr>
        <w:ind w:left="420" w:leftChars="200"/>
        <w:jc w:val="left"/>
        <w:rPr>
          <w:rFonts w:asciiTheme="minorEastAsia" w:hAnsiTheme="minorEastAsia" w:eastAsiaTheme="minorEastAsia"/>
          <w:sz w:val="24"/>
        </w:rPr>
      </w:pPr>
    </w:p>
    <w:p w14:paraId="425D77F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16E40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3152793">
      <w:pPr>
        <w:widowControl/>
        <w:jc w:val="left"/>
        <w:rPr>
          <w:rFonts w:ascii="宋体" w:hAnsi="宋体"/>
          <w:sz w:val="24"/>
        </w:rPr>
      </w:pPr>
    </w:p>
    <w:p w14:paraId="48CD2CC5">
      <w:pPr>
        <w:pStyle w:val="41"/>
        <w:spacing w:before="156" w:after="156"/>
        <w:rPr>
          <w:b w:val="0"/>
        </w:rPr>
      </w:pPr>
      <w:r>
        <w:rPr>
          <w:rFonts w:hint="eastAsia"/>
          <w:b w:val="0"/>
        </w:rPr>
        <w:t>报告期末占资产净值比例大小排序的前十项资产</w:t>
      </w:r>
      <w:r>
        <w:rPr>
          <w:b w:val="0"/>
        </w:rPr>
        <w:t>明细</w:t>
      </w:r>
    </w:p>
    <w:p w14:paraId="5FB1D47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D53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D98BD0C">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F49090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FDD01D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56A40E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A41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3AFA6C3">
            <w:pPr>
              <w:jc w:val="center"/>
              <w:rPr>
                <w:szCs w:val="21"/>
              </w:rPr>
            </w:pPr>
            <w:r>
              <w:rPr>
                <w:szCs w:val="21"/>
              </w:rPr>
              <w:t>1</w:t>
            </w:r>
          </w:p>
        </w:tc>
        <w:tc>
          <w:tcPr>
            <w:tcW w:w="3159" w:type="dxa"/>
            <w:shd w:val="clear" w:color="auto" w:fill="auto"/>
            <w:vAlign w:val="center"/>
          </w:tcPr>
          <w:p w14:paraId="3F4E848E">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AA2599D">
            <w:pPr>
              <w:jc w:val="right"/>
            </w:pPr>
            <w:r>
              <w:t>100,000,200.00</w:t>
            </w:r>
          </w:p>
        </w:tc>
        <w:tc>
          <w:tcPr>
            <w:tcW w:w="2431" w:type="dxa"/>
            <w:shd w:val="clear" w:color="auto" w:fill="auto"/>
            <w:vAlign w:val="center"/>
          </w:tcPr>
          <w:p w14:paraId="6B5C104A">
            <w:pPr>
              <w:jc w:val="right"/>
            </w:pPr>
            <w:bookmarkStart w:id="3" w:name="OLE_LINK5"/>
            <w:bookmarkEnd w:id="3"/>
            <w:bookmarkStart w:id="4" w:name="OLE_LINK6"/>
            <w:bookmarkEnd w:id="4"/>
            <w:r>
              <w:rPr>
                <w:rFonts w:hint="eastAsia"/>
              </w:rPr>
              <w:t>10.58</w:t>
            </w:r>
          </w:p>
        </w:tc>
      </w:tr>
      <w:tr w14:paraId="08A1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724CBF">
            <w:pPr>
              <w:ind w:hanging="1"/>
              <w:jc w:val="center"/>
              <w:rPr>
                <w:szCs w:val="21"/>
              </w:rPr>
            </w:pPr>
            <w:r>
              <w:rPr>
                <w:b w:val="0"/>
                <w:i w:val="0"/>
                <w:strike w:val="0"/>
                <w:u w:val="none"/>
              </w:rPr>
              <w:t>2</w:t>
            </w:r>
          </w:p>
        </w:tc>
        <w:tc>
          <w:tcPr>
            <w:tcW w:w="3159" w:type="dxa"/>
            <w:shd w:val="clear" w:color="auto" w:fill="auto"/>
            <w:vAlign w:val="center"/>
          </w:tcPr>
          <w:p w14:paraId="66B019A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6D36C332">
            <w:pPr>
              <w:ind w:hanging="1"/>
              <w:jc w:val="right"/>
            </w:pPr>
            <w:r>
              <w:rPr>
                <w:b w:val="0"/>
                <w:i w:val="0"/>
                <w:strike w:val="0"/>
                <w:u w:val="none"/>
              </w:rPr>
              <w:t>49,948,964.29</w:t>
            </w:r>
          </w:p>
        </w:tc>
        <w:tc>
          <w:tcPr>
            <w:tcW w:w="2431" w:type="dxa"/>
            <w:shd w:val="clear" w:color="auto" w:fill="auto"/>
            <w:vAlign w:val="center"/>
          </w:tcPr>
          <w:p w14:paraId="004429E3">
            <w:pPr>
              <w:ind w:hanging="1"/>
              <w:jc w:val="right"/>
            </w:pPr>
            <w:r>
              <w:rPr>
                <w:rFonts w:hint="eastAsia"/>
                <w:b w:val="0"/>
                <w:i w:val="0"/>
                <w:strike w:val="0"/>
                <w:u w:val="none"/>
              </w:rPr>
              <w:t>5.28</w:t>
            </w:r>
          </w:p>
        </w:tc>
      </w:tr>
      <w:tr w14:paraId="3646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ED42FC">
            <w:pPr>
              <w:ind w:hanging="1"/>
              <w:jc w:val="center"/>
              <w:rPr>
                <w:szCs w:val="21"/>
              </w:rPr>
            </w:pPr>
            <w:r>
              <w:rPr>
                <w:b w:val="0"/>
                <w:i w:val="0"/>
                <w:strike w:val="0"/>
                <w:u w:val="none"/>
              </w:rPr>
              <w:t>3</w:t>
            </w:r>
          </w:p>
        </w:tc>
        <w:tc>
          <w:tcPr>
            <w:tcW w:w="3159" w:type="dxa"/>
            <w:shd w:val="clear" w:color="auto" w:fill="auto"/>
            <w:vAlign w:val="center"/>
          </w:tcPr>
          <w:p w14:paraId="5F1B90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477FB73">
            <w:pPr>
              <w:ind w:hanging="1"/>
              <w:jc w:val="right"/>
            </w:pPr>
            <w:r>
              <w:rPr>
                <w:b w:val="0"/>
                <w:i w:val="0"/>
                <w:strike w:val="0"/>
                <w:u w:val="none"/>
              </w:rPr>
              <w:t>41,959,680.82</w:t>
            </w:r>
          </w:p>
        </w:tc>
        <w:tc>
          <w:tcPr>
            <w:tcW w:w="2431" w:type="dxa"/>
            <w:shd w:val="clear" w:color="auto" w:fill="auto"/>
            <w:vAlign w:val="center"/>
          </w:tcPr>
          <w:p w14:paraId="67D7794A">
            <w:pPr>
              <w:ind w:hanging="1"/>
              <w:jc w:val="right"/>
            </w:pPr>
            <w:r>
              <w:rPr>
                <w:rFonts w:hint="eastAsia"/>
                <w:b w:val="0"/>
                <w:i w:val="0"/>
                <w:strike w:val="0"/>
                <w:u w:val="none"/>
              </w:rPr>
              <w:t>4.44</w:t>
            </w:r>
          </w:p>
        </w:tc>
      </w:tr>
      <w:tr w14:paraId="609E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50935A">
            <w:pPr>
              <w:ind w:hanging="1"/>
              <w:jc w:val="center"/>
              <w:rPr>
                <w:szCs w:val="21"/>
              </w:rPr>
            </w:pPr>
            <w:r>
              <w:rPr>
                <w:b w:val="0"/>
                <w:i w:val="0"/>
                <w:strike w:val="0"/>
                <w:u w:val="none"/>
              </w:rPr>
              <w:t>4</w:t>
            </w:r>
          </w:p>
        </w:tc>
        <w:tc>
          <w:tcPr>
            <w:tcW w:w="3159" w:type="dxa"/>
            <w:shd w:val="clear" w:color="auto" w:fill="auto"/>
            <w:vAlign w:val="center"/>
          </w:tcPr>
          <w:p w14:paraId="47FACD5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14ACD020">
            <w:pPr>
              <w:ind w:hanging="1"/>
              <w:jc w:val="right"/>
            </w:pPr>
            <w:r>
              <w:rPr>
                <w:b w:val="0"/>
                <w:i w:val="0"/>
                <w:strike w:val="0"/>
                <w:u w:val="none"/>
              </w:rPr>
              <w:t>41,420,898.63</w:t>
            </w:r>
          </w:p>
        </w:tc>
        <w:tc>
          <w:tcPr>
            <w:tcW w:w="2431" w:type="dxa"/>
            <w:shd w:val="clear" w:color="auto" w:fill="auto"/>
            <w:vAlign w:val="center"/>
          </w:tcPr>
          <w:p w14:paraId="01CAC5D5">
            <w:pPr>
              <w:ind w:hanging="1"/>
              <w:jc w:val="right"/>
            </w:pPr>
            <w:r>
              <w:rPr>
                <w:rFonts w:hint="eastAsia"/>
                <w:b w:val="0"/>
                <w:i w:val="0"/>
                <w:strike w:val="0"/>
                <w:u w:val="none"/>
              </w:rPr>
              <w:t>4.38</w:t>
            </w:r>
          </w:p>
        </w:tc>
      </w:tr>
      <w:tr w14:paraId="32BF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C9AE1C">
            <w:pPr>
              <w:ind w:hanging="1"/>
              <w:jc w:val="center"/>
              <w:rPr>
                <w:szCs w:val="21"/>
              </w:rPr>
            </w:pPr>
            <w:r>
              <w:rPr>
                <w:b w:val="0"/>
                <w:i w:val="0"/>
                <w:strike w:val="0"/>
                <w:u w:val="none"/>
              </w:rPr>
              <w:t>5</w:t>
            </w:r>
          </w:p>
        </w:tc>
        <w:tc>
          <w:tcPr>
            <w:tcW w:w="3159" w:type="dxa"/>
            <w:shd w:val="clear" w:color="auto" w:fill="auto"/>
            <w:vAlign w:val="center"/>
          </w:tcPr>
          <w:p w14:paraId="797896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066208AB">
            <w:pPr>
              <w:ind w:hanging="1"/>
              <w:jc w:val="right"/>
            </w:pPr>
            <w:r>
              <w:rPr>
                <w:b w:val="0"/>
                <w:i w:val="0"/>
                <w:strike w:val="0"/>
                <w:u w:val="none"/>
              </w:rPr>
              <w:t>39,589,024.66</w:t>
            </w:r>
          </w:p>
        </w:tc>
        <w:tc>
          <w:tcPr>
            <w:tcW w:w="2431" w:type="dxa"/>
            <w:shd w:val="clear" w:color="auto" w:fill="auto"/>
            <w:vAlign w:val="center"/>
          </w:tcPr>
          <w:p w14:paraId="71BAAF67">
            <w:pPr>
              <w:ind w:hanging="1"/>
              <w:jc w:val="right"/>
            </w:pPr>
            <w:r>
              <w:rPr>
                <w:rFonts w:hint="eastAsia"/>
                <w:b w:val="0"/>
                <w:i w:val="0"/>
                <w:strike w:val="0"/>
                <w:u w:val="none"/>
              </w:rPr>
              <w:t>4.19</w:t>
            </w:r>
          </w:p>
        </w:tc>
      </w:tr>
      <w:tr w14:paraId="5AD0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2939CA">
            <w:pPr>
              <w:ind w:hanging="1"/>
              <w:jc w:val="center"/>
              <w:rPr>
                <w:szCs w:val="21"/>
              </w:rPr>
            </w:pPr>
            <w:r>
              <w:rPr>
                <w:b w:val="0"/>
                <w:i w:val="0"/>
                <w:strike w:val="0"/>
                <w:u w:val="none"/>
              </w:rPr>
              <w:t>6</w:t>
            </w:r>
          </w:p>
        </w:tc>
        <w:tc>
          <w:tcPr>
            <w:tcW w:w="3159" w:type="dxa"/>
            <w:shd w:val="clear" w:color="auto" w:fill="auto"/>
            <w:vAlign w:val="center"/>
          </w:tcPr>
          <w:p w14:paraId="1797CB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1215AF7">
            <w:pPr>
              <w:ind w:hanging="1"/>
              <w:jc w:val="right"/>
            </w:pPr>
            <w:r>
              <w:rPr>
                <w:b w:val="0"/>
                <w:i w:val="0"/>
                <w:strike w:val="0"/>
                <w:u w:val="none"/>
              </w:rPr>
              <w:t>38,913,052.05</w:t>
            </w:r>
          </w:p>
        </w:tc>
        <w:tc>
          <w:tcPr>
            <w:tcW w:w="2431" w:type="dxa"/>
            <w:shd w:val="clear" w:color="auto" w:fill="auto"/>
            <w:vAlign w:val="center"/>
          </w:tcPr>
          <w:p w14:paraId="30A4851A">
            <w:pPr>
              <w:ind w:hanging="1"/>
              <w:jc w:val="right"/>
            </w:pPr>
            <w:r>
              <w:rPr>
                <w:rFonts w:hint="eastAsia"/>
                <w:b w:val="0"/>
                <w:i w:val="0"/>
                <w:strike w:val="0"/>
                <w:u w:val="none"/>
              </w:rPr>
              <w:t>4.12</w:t>
            </w:r>
          </w:p>
        </w:tc>
      </w:tr>
      <w:tr w14:paraId="63DB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31FA241">
            <w:pPr>
              <w:ind w:hanging="1"/>
              <w:jc w:val="center"/>
              <w:rPr>
                <w:szCs w:val="21"/>
              </w:rPr>
            </w:pPr>
            <w:r>
              <w:rPr>
                <w:b w:val="0"/>
                <w:i w:val="0"/>
                <w:strike w:val="0"/>
                <w:u w:val="none"/>
              </w:rPr>
              <w:t>7</w:t>
            </w:r>
          </w:p>
        </w:tc>
        <w:tc>
          <w:tcPr>
            <w:tcW w:w="3159" w:type="dxa"/>
            <w:shd w:val="clear" w:color="auto" w:fill="auto"/>
            <w:vAlign w:val="center"/>
          </w:tcPr>
          <w:p w14:paraId="124DD6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70B36C38">
            <w:pPr>
              <w:ind w:hanging="1"/>
              <w:jc w:val="right"/>
            </w:pPr>
            <w:r>
              <w:rPr>
                <w:b w:val="0"/>
                <w:i w:val="0"/>
                <w:strike w:val="0"/>
                <w:u w:val="none"/>
              </w:rPr>
              <w:t>34,466,744.71</w:t>
            </w:r>
          </w:p>
        </w:tc>
        <w:tc>
          <w:tcPr>
            <w:tcW w:w="2431" w:type="dxa"/>
            <w:shd w:val="clear" w:color="auto" w:fill="auto"/>
            <w:vAlign w:val="center"/>
          </w:tcPr>
          <w:p w14:paraId="4EFB0A6D">
            <w:pPr>
              <w:ind w:hanging="1"/>
              <w:jc w:val="right"/>
            </w:pPr>
            <w:r>
              <w:rPr>
                <w:rFonts w:hint="eastAsia"/>
                <w:b w:val="0"/>
                <w:i w:val="0"/>
                <w:strike w:val="0"/>
                <w:u w:val="none"/>
              </w:rPr>
              <w:t>3.65</w:t>
            </w:r>
          </w:p>
        </w:tc>
      </w:tr>
      <w:tr w14:paraId="5D33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4DB49C">
            <w:pPr>
              <w:ind w:hanging="1"/>
              <w:jc w:val="center"/>
              <w:rPr>
                <w:szCs w:val="21"/>
              </w:rPr>
            </w:pPr>
            <w:r>
              <w:rPr>
                <w:b w:val="0"/>
                <w:i w:val="0"/>
                <w:strike w:val="0"/>
                <w:u w:val="none"/>
              </w:rPr>
              <w:t>8</w:t>
            </w:r>
          </w:p>
        </w:tc>
        <w:tc>
          <w:tcPr>
            <w:tcW w:w="3159" w:type="dxa"/>
            <w:shd w:val="clear" w:color="auto" w:fill="auto"/>
            <w:vAlign w:val="center"/>
          </w:tcPr>
          <w:p w14:paraId="467FA86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05CF7B97">
            <w:pPr>
              <w:ind w:hanging="1"/>
              <w:jc w:val="right"/>
            </w:pPr>
            <w:r>
              <w:rPr>
                <w:b w:val="0"/>
                <w:i w:val="0"/>
                <w:strike w:val="0"/>
                <w:u w:val="none"/>
              </w:rPr>
              <w:t>28,840,767.12</w:t>
            </w:r>
          </w:p>
        </w:tc>
        <w:tc>
          <w:tcPr>
            <w:tcW w:w="2431" w:type="dxa"/>
            <w:shd w:val="clear" w:color="auto" w:fill="auto"/>
            <w:vAlign w:val="center"/>
          </w:tcPr>
          <w:p w14:paraId="4F3E248A">
            <w:pPr>
              <w:ind w:hanging="1"/>
              <w:jc w:val="right"/>
            </w:pPr>
            <w:r>
              <w:rPr>
                <w:rFonts w:hint="eastAsia"/>
                <w:b w:val="0"/>
                <w:i w:val="0"/>
                <w:strike w:val="0"/>
                <w:u w:val="none"/>
              </w:rPr>
              <w:t>3.05</w:t>
            </w:r>
          </w:p>
        </w:tc>
      </w:tr>
      <w:tr w14:paraId="3A86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5CD904">
            <w:pPr>
              <w:ind w:hanging="1"/>
              <w:jc w:val="center"/>
              <w:rPr>
                <w:szCs w:val="21"/>
              </w:rPr>
            </w:pPr>
            <w:r>
              <w:rPr>
                <w:b w:val="0"/>
                <w:i w:val="0"/>
                <w:strike w:val="0"/>
                <w:u w:val="none"/>
              </w:rPr>
              <w:t>9</w:t>
            </w:r>
          </w:p>
        </w:tc>
        <w:tc>
          <w:tcPr>
            <w:tcW w:w="3159" w:type="dxa"/>
            <w:shd w:val="clear" w:color="auto" w:fill="auto"/>
            <w:vAlign w:val="center"/>
          </w:tcPr>
          <w:p w14:paraId="7093770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14:paraId="4BA6A8AE">
            <w:pPr>
              <w:ind w:hanging="1"/>
              <w:jc w:val="right"/>
            </w:pPr>
            <w:r>
              <w:rPr>
                <w:b w:val="0"/>
                <w:i w:val="0"/>
                <w:strike w:val="0"/>
                <w:u w:val="none"/>
              </w:rPr>
              <w:t>25,023,386.30</w:t>
            </w:r>
          </w:p>
        </w:tc>
        <w:tc>
          <w:tcPr>
            <w:tcW w:w="2431" w:type="dxa"/>
            <w:shd w:val="clear" w:color="auto" w:fill="auto"/>
            <w:vAlign w:val="center"/>
          </w:tcPr>
          <w:p w14:paraId="6955CA58">
            <w:pPr>
              <w:ind w:hanging="1"/>
              <w:jc w:val="right"/>
            </w:pPr>
            <w:r>
              <w:rPr>
                <w:rFonts w:hint="eastAsia"/>
                <w:b w:val="0"/>
                <w:i w:val="0"/>
                <w:strike w:val="0"/>
                <w:u w:val="none"/>
              </w:rPr>
              <w:t>2.65</w:t>
            </w:r>
          </w:p>
        </w:tc>
      </w:tr>
      <w:tr w14:paraId="565E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0E54C9">
            <w:pPr>
              <w:ind w:hanging="1"/>
              <w:jc w:val="center"/>
              <w:rPr>
                <w:szCs w:val="21"/>
              </w:rPr>
            </w:pPr>
            <w:r>
              <w:rPr>
                <w:b w:val="0"/>
                <w:i w:val="0"/>
                <w:strike w:val="0"/>
                <w:u w:val="none"/>
              </w:rPr>
              <w:t>10</w:t>
            </w:r>
          </w:p>
        </w:tc>
        <w:tc>
          <w:tcPr>
            <w:tcW w:w="3159" w:type="dxa"/>
            <w:shd w:val="clear" w:color="auto" w:fill="auto"/>
            <w:vAlign w:val="center"/>
          </w:tcPr>
          <w:p w14:paraId="44B24D1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26495A72">
            <w:pPr>
              <w:ind w:hanging="1"/>
              <w:jc w:val="right"/>
            </w:pPr>
            <w:r>
              <w:rPr>
                <w:b w:val="0"/>
                <w:i w:val="0"/>
                <w:strike w:val="0"/>
                <w:u w:val="none"/>
              </w:rPr>
              <w:t>22,926,461.37</w:t>
            </w:r>
          </w:p>
        </w:tc>
        <w:tc>
          <w:tcPr>
            <w:tcW w:w="2431" w:type="dxa"/>
            <w:shd w:val="clear" w:color="auto" w:fill="auto"/>
            <w:vAlign w:val="center"/>
          </w:tcPr>
          <w:p w14:paraId="4CDA56F8">
            <w:pPr>
              <w:ind w:hanging="1"/>
              <w:jc w:val="right"/>
            </w:pPr>
            <w:r>
              <w:rPr>
                <w:rFonts w:hint="eastAsia"/>
                <w:b w:val="0"/>
                <w:i w:val="0"/>
                <w:strike w:val="0"/>
                <w:u w:val="none"/>
              </w:rPr>
              <w:t>2.43</w:t>
            </w:r>
          </w:p>
        </w:tc>
      </w:tr>
    </w:tbl>
    <w:p w14:paraId="72EBFF1D">
      <w:pPr>
        <w:rPr>
          <w:rFonts w:ascii="宋体" w:hAnsi="宋体"/>
          <w:sz w:val="24"/>
        </w:rPr>
      </w:pPr>
      <w:r>
        <w:rPr>
          <w:rFonts w:hint="eastAsia" w:ascii="宋体" w:hAnsi="宋体"/>
          <w:sz w:val="24"/>
        </w:rPr>
        <w:t xml:space="preserve"> </w:t>
      </w:r>
    </w:p>
    <w:p w14:paraId="3D70FE6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E80C834">
      <w:pPr>
        <w:pStyle w:val="40"/>
      </w:pPr>
      <w:r>
        <w:t>托管人报告</w:t>
      </w:r>
    </w:p>
    <w:p w14:paraId="13AFCD3D">
      <w:pPr>
        <w:spacing w:line="360" w:lineRule="auto"/>
        <w:ind w:right="-107" w:rightChars="-51"/>
        <w:jc w:val="left"/>
        <w:rPr>
          <w:rFonts w:hint="eastAsia" w:ascii="宋体" w:hAnsi="宋体"/>
          <w:szCs w:val="21"/>
        </w:rPr>
      </w:pPr>
      <w:r>
        <w:rPr>
          <w:rFonts w:hint="eastAsia" w:ascii="宋体" w:hAnsi="宋体"/>
          <w:szCs w:val="21"/>
        </w:rPr>
        <w:t>5.1、托管人履职情况</w:t>
      </w:r>
    </w:p>
    <w:p w14:paraId="16A3A292">
      <w:pPr>
        <w:spacing w:line="360" w:lineRule="auto"/>
        <w:ind w:right="-107" w:rightChars="-51"/>
        <w:jc w:val="left"/>
        <w:rPr>
          <w:rFonts w:hint="eastAsia" w:ascii="宋体" w:hAnsi="宋体"/>
          <w:szCs w:val="21"/>
        </w:rPr>
      </w:pPr>
      <w:r>
        <w:rPr>
          <w:rFonts w:hint="eastAsia" w:ascii="宋体" w:hAnsi="宋体"/>
          <w:szCs w:val="21"/>
        </w:rPr>
        <w:t>（一）托管资产保管</w:t>
      </w:r>
    </w:p>
    <w:p w14:paraId="0316668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E0F58A3">
      <w:pPr>
        <w:spacing w:line="360" w:lineRule="auto"/>
        <w:ind w:right="-107" w:rightChars="-51"/>
        <w:jc w:val="left"/>
        <w:rPr>
          <w:rFonts w:hint="eastAsia" w:ascii="宋体" w:hAnsi="宋体"/>
          <w:szCs w:val="21"/>
        </w:rPr>
      </w:pPr>
      <w:r>
        <w:rPr>
          <w:rFonts w:hint="eastAsia" w:ascii="宋体" w:hAnsi="宋体"/>
          <w:szCs w:val="21"/>
        </w:rPr>
        <w:t>（二）会计核算和估值</w:t>
      </w:r>
    </w:p>
    <w:p w14:paraId="01B4D9A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EB4FA7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70BA9A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AECF242">
      <w:pPr>
        <w:spacing w:line="360" w:lineRule="auto"/>
        <w:ind w:right="-107" w:rightChars="-51"/>
        <w:jc w:val="left"/>
        <w:rPr>
          <w:rFonts w:hint="eastAsia" w:ascii="宋体" w:hAnsi="宋体"/>
          <w:szCs w:val="21"/>
        </w:rPr>
      </w:pPr>
      <w:r>
        <w:rPr>
          <w:rFonts w:hint="eastAsia" w:ascii="宋体" w:hAnsi="宋体"/>
          <w:szCs w:val="21"/>
        </w:rPr>
        <w:t>（四）投资监督</w:t>
      </w:r>
    </w:p>
    <w:p w14:paraId="27D38F7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2C15B2B">
      <w:pPr>
        <w:spacing w:line="360" w:lineRule="auto"/>
        <w:ind w:right="-107" w:rightChars="-51"/>
        <w:jc w:val="left"/>
        <w:rPr>
          <w:rFonts w:hint="eastAsia" w:ascii="宋体" w:hAnsi="宋体"/>
          <w:szCs w:val="21"/>
        </w:rPr>
      </w:pPr>
      <w:r>
        <w:rPr>
          <w:rFonts w:hint="eastAsia" w:ascii="宋体" w:hAnsi="宋体"/>
          <w:szCs w:val="21"/>
        </w:rPr>
        <w:t>5.2、托管人声明</w:t>
      </w:r>
    </w:p>
    <w:p w14:paraId="385F78E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2E5DC5A">
      <w:pPr>
        <w:pStyle w:val="40"/>
      </w:pPr>
      <w:r>
        <w:rPr>
          <w:rFonts w:hint="eastAsia"/>
          <w:lang w:val="en-US"/>
        </w:rPr>
        <w:t>关联交易情况说明</w:t>
      </w:r>
    </w:p>
    <w:p w14:paraId="3172DD07">
      <w:pPr>
        <w:ind w:firstLine="420" w:firstLineChars="200"/>
        <w:jc w:val="left"/>
        <w:rPr>
          <w:rFonts w:hint="eastAsia" w:asciiTheme="minorEastAsia" w:hAnsiTheme="minorEastAsia" w:eastAsiaTheme="minorEastAsia"/>
          <w:szCs w:val="21"/>
          <w:lang w:eastAsia="zh-CN"/>
        </w:rPr>
      </w:pPr>
      <w:bookmarkStart w:id="5" w:name="_GoBack"/>
      <w:bookmarkEnd w:id="5"/>
      <w:r>
        <w:rPr>
          <w:rFonts w:hint="eastAsia" w:asciiTheme="minorEastAsia" w:hAnsiTheme="minorEastAsia" w:eastAsiaTheme="minorEastAsia"/>
          <w:szCs w:val="21"/>
          <w:highlight w:val="none"/>
          <w:lang w:val="en-US" w:eastAsia="zh-CN"/>
        </w:rPr>
        <w:t>本报告期末，本产品投资的蓉工31A1属于关联交易。</w:t>
      </w:r>
    </w:p>
    <w:p w14:paraId="285322AC">
      <w:pPr>
        <w:spacing w:line="360" w:lineRule="auto"/>
        <w:ind w:right="-107" w:rightChars="-51" w:firstLine="420" w:firstLineChars="200"/>
        <w:jc w:val="left"/>
        <w:rPr>
          <w:rFonts w:hint="eastAsia" w:ascii="宋体" w:hAnsi="宋体"/>
          <w:szCs w:val="21"/>
        </w:rPr>
      </w:pPr>
    </w:p>
    <w:p w14:paraId="163B5AA0">
      <w:pPr>
        <w:jc w:val="left"/>
        <w:rPr>
          <w:rFonts w:asciiTheme="minorEastAsia" w:hAnsiTheme="minorEastAsia" w:eastAsiaTheme="minorEastAsia"/>
          <w:szCs w:val="21"/>
        </w:rPr>
      </w:pPr>
    </w:p>
    <w:p w14:paraId="22EF52A5">
      <w:pPr>
        <w:jc w:val="right"/>
        <w:rPr>
          <w:rFonts w:ascii="宋体" w:hAnsi="宋体"/>
          <w:sz w:val="24"/>
        </w:rPr>
      </w:pPr>
    </w:p>
    <w:p w14:paraId="06226561">
      <w:pPr>
        <w:jc w:val="right"/>
        <w:rPr>
          <w:rFonts w:ascii="宋体" w:hAnsi="宋体"/>
          <w:sz w:val="28"/>
          <w:szCs w:val="28"/>
        </w:rPr>
      </w:pPr>
      <w:r>
        <w:rPr>
          <w:rFonts w:ascii="宋体" w:hAnsi="宋体"/>
          <w:sz w:val="28"/>
          <w:szCs w:val="28"/>
        </w:rPr>
        <w:t>四川银行股份有限公司</w:t>
      </w:r>
    </w:p>
    <w:p w14:paraId="1574A961">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B7451">
    <w:pPr>
      <w:pStyle w:val="10"/>
      <w:framePr w:wrap="around" w:vAnchor="text" w:hAnchor="margin" w:xAlign="right" w:y="1"/>
      <w:rPr>
        <w:rStyle w:val="20"/>
      </w:rPr>
    </w:pPr>
    <w:r>
      <w:rPr>
        <w:rStyle w:val="20"/>
        <w:rFonts w:hint="eastAsia"/>
      </w:rPr>
      <w:t xml:space="preserve"> </w:t>
    </w:r>
  </w:p>
  <w:p w14:paraId="5D5AEE5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A665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89D96F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C4A36C6"/>
    <w:rsid w:val="1DD13355"/>
    <w:rsid w:val="1F246194"/>
    <w:rsid w:val="21AF23DE"/>
    <w:rsid w:val="250932D9"/>
    <w:rsid w:val="30D863E3"/>
    <w:rsid w:val="35706056"/>
    <w:rsid w:val="35844C1F"/>
    <w:rsid w:val="378A66D0"/>
    <w:rsid w:val="3A240D3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2026-07-07T07:02:40Z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